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drawing6.xml" ContentType="application/vnd.ms-office.drawingml.diagramDrawing+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stylesWithEffects.xml" ContentType="application/vnd.ms-word.stylesWithEffects+xml"/>
  <Override PartName="/word/diagrams/drawing2.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drawing15.xml" ContentType="application/vnd.ms-office.drawingml.diagramDrawing+xml"/>
  <Override PartName="/word/footer1.xml" ContentType="application/vnd.openxmlformats-officedocument.wordprocessingml.footer+xml"/>
  <Override PartName="/word/diagrams/layout5.xml" ContentType="application/vnd.openxmlformats-officedocument.drawingml.diagramLayout+xml"/>
  <Override PartName="/word/diagrams/quickStyle7.xml" ContentType="application/vnd.openxmlformats-officedocument.drawingml.diagramStyle+xml"/>
  <Override PartName="/word/diagrams/drawing13.xml" ContentType="application/vnd.ms-office.drawingml.diagramDrawing+xml"/>
  <Override PartName="/word/diagrams/quickStyle18.xml" ContentType="application/vnd.openxmlformats-officedocument.drawingml.diagramStyle+xml"/>
  <Override PartName="/word/header2.xml" ContentType="application/vnd.openxmlformats-officedocument.wordprocessingml.header+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Override PartName="/word/diagrams/drawing11.xml" ContentType="application/vnd.ms-office.drawingml.diagramDrawing+xml"/>
  <Override PartName="/word/diagrams/quickStyle14.xml" ContentType="application/vnd.openxmlformats-officedocument.drawingml.diagramStyle+xml"/>
  <Override PartName="/word/diagrams/quickStyle16.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xml" ContentType="application/vnd.openxmlformats-officedocument.drawingml.diagramStyle+xml"/>
  <Default Extension="png" ContentType="image/png"/>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Default Extension="emf" ContentType="image/x-emf"/>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word/diagrams/drawing16.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Override PartName="/word/diagrams/drawing14.xml" ContentType="application/vnd.ms-office.drawingml.diagramDrawing+xml"/>
  <Override PartName="/word/diagrams/quickStyle19.xml" ContentType="application/vnd.openxmlformats-officedocument.drawingml.diagramStyle+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diagrams/quickStyle17.xml" ContentType="application/vnd.openxmlformats-officedocument.drawingml.diagramStyle+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drawing10.xml" ContentType="application/vnd.ms-office.drawingml.diagramDrawing+xml"/>
  <Override PartName="/word/diagrams/quickStyle1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layout14.xml" ContentType="application/vnd.openxmlformats-officedocument.drawingml.diagramLayout+xml"/>
  <Override PartName="/word/diagrams/colors17.xml" ContentType="application/vnd.openxmlformats-officedocument.drawingml.diagramColors+xml"/>
  <Override PartName="/word/diagrams/data12.xml" ContentType="application/vnd.openxmlformats-officedocument.drawingml.diagramData+xml"/>
  <Default Extension="rels" ContentType="application/vnd.openxmlformats-package.relationships+xml"/>
  <Override PartName="/word/diagrams/drawing4.xml" ContentType="application/vnd.ms-office.drawingml.diagramDrawing+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96" w:rsidRPr="00FC5FCC" w:rsidRDefault="00851196" w:rsidP="00FC5FCC">
      <w:pPr>
        <w:pStyle w:val="Default"/>
        <w:rPr>
          <w:rFonts w:asciiTheme="majorHAnsi" w:hAnsiTheme="majorHAnsi"/>
          <w:color w:val="auto"/>
        </w:rPr>
      </w:pPr>
      <w:bookmarkStart w:id="0" w:name="_Hlk485038317"/>
      <w:bookmarkEnd w:id="0"/>
    </w:p>
    <w:p w:rsidR="00C64A02" w:rsidRPr="00565D0D" w:rsidRDefault="00565D0D" w:rsidP="00470B63">
      <w:pPr>
        <w:autoSpaceDE w:val="0"/>
        <w:autoSpaceDN w:val="0"/>
        <w:adjustRightInd w:val="0"/>
        <w:spacing w:after="0" w:line="240" w:lineRule="auto"/>
        <w:jc w:val="right"/>
        <w:rPr>
          <w:rFonts w:asciiTheme="majorHAnsi" w:eastAsiaTheme="minorHAnsi" w:hAnsiTheme="majorHAnsi"/>
          <w:sz w:val="20"/>
          <w:szCs w:val="20"/>
          <w:lang w:eastAsia="en-US"/>
        </w:rPr>
      </w:pPr>
      <w:r w:rsidRPr="00565D0D">
        <w:rPr>
          <w:rFonts w:asciiTheme="majorHAnsi" w:eastAsiaTheme="minorHAnsi" w:hAnsiTheme="majorHAnsi"/>
          <w:bCs/>
          <w:sz w:val="20"/>
          <w:szCs w:val="20"/>
          <w:lang w:eastAsia="en-US"/>
        </w:rPr>
        <w:t>Załącznik nr</w:t>
      </w:r>
      <w:r w:rsidR="00946311">
        <w:rPr>
          <w:rFonts w:asciiTheme="majorHAnsi" w:eastAsiaTheme="minorHAnsi" w:hAnsiTheme="majorHAnsi"/>
          <w:bCs/>
          <w:sz w:val="20"/>
          <w:szCs w:val="20"/>
          <w:lang w:eastAsia="en-US"/>
        </w:rPr>
        <w:t xml:space="preserve">  10</w:t>
      </w:r>
      <w:r w:rsidR="00C64A02" w:rsidRPr="00565D0D">
        <w:rPr>
          <w:rFonts w:asciiTheme="majorHAnsi" w:eastAsiaTheme="minorHAnsi" w:hAnsiTheme="majorHAnsi"/>
          <w:bCs/>
          <w:sz w:val="20"/>
          <w:szCs w:val="20"/>
          <w:lang w:eastAsia="en-US"/>
        </w:rPr>
        <w:t xml:space="preserve"> </w:t>
      </w:r>
    </w:p>
    <w:p w:rsidR="00417D87" w:rsidRDefault="00417D87" w:rsidP="00470B63">
      <w:pPr>
        <w:autoSpaceDE w:val="0"/>
        <w:autoSpaceDN w:val="0"/>
        <w:adjustRightInd w:val="0"/>
        <w:spacing w:after="0" w:line="240" w:lineRule="auto"/>
        <w:jc w:val="center"/>
        <w:rPr>
          <w:rFonts w:ascii="Calibri" w:eastAsiaTheme="minorHAnsi" w:hAnsi="Calibri"/>
          <w:b/>
          <w:bCs/>
          <w:sz w:val="28"/>
          <w:szCs w:val="28"/>
          <w:lang w:eastAsia="en-US"/>
        </w:rPr>
      </w:pPr>
      <w:bookmarkStart w:id="1" w:name="_GoBack"/>
      <w:bookmarkEnd w:id="1"/>
    </w:p>
    <w:p w:rsidR="00C64A02" w:rsidRPr="002E3BB1" w:rsidRDefault="00C64A02" w:rsidP="00470B63">
      <w:pPr>
        <w:autoSpaceDE w:val="0"/>
        <w:autoSpaceDN w:val="0"/>
        <w:adjustRightInd w:val="0"/>
        <w:spacing w:after="0" w:line="240" w:lineRule="auto"/>
        <w:jc w:val="center"/>
        <w:rPr>
          <w:rFonts w:asciiTheme="majorHAnsi" w:eastAsiaTheme="minorHAnsi" w:hAnsiTheme="majorHAnsi"/>
          <w:b/>
          <w:bCs/>
          <w:sz w:val="28"/>
          <w:szCs w:val="28"/>
          <w:lang w:eastAsia="en-US"/>
        </w:rPr>
      </w:pPr>
      <w:r w:rsidRPr="002E3BB1">
        <w:rPr>
          <w:rFonts w:asciiTheme="majorHAnsi" w:eastAsiaTheme="minorHAnsi" w:hAnsiTheme="majorHAnsi"/>
          <w:b/>
          <w:bCs/>
          <w:sz w:val="28"/>
          <w:szCs w:val="28"/>
          <w:lang w:eastAsia="en-US"/>
        </w:rPr>
        <w:t>INSTRUKCJA WYPEŁNIANIA ZAŁĄCZNIKÓW DO WNIOSKU</w:t>
      </w:r>
    </w:p>
    <w:p w:rsidR="00470B63" w:rsidRPr="002E3BB1" w:rsidRDefault="00470B63" w:rsidP="00470B63">
      <w:pPr>
        <w:autoSpaceDE w:val="0"/>
        <w:autoSpaceDN w:val="0"/>
        <w:adjustRightInd w:val="0"/>
        <w:spacing w:after="0" w:line="240" w:lineRule="auto"/>
        <w:jc w:val="center"/>
        <w:rPr>
          <w:rFonts w:asciiTheme="majorHAnsi" w:eastAsiaTheme="minorHAnsi" w:hAnsiTheme="majorHAnsi"/>
          <w:sz w:val="24"/>
          <w:szCs w:val="24"/>
          <w:lang w:eastAsia="en-US"/>
        </w:rPr>
      </w:pPr>
    </w:p>
    <w:p w:rsidR="00C64A02" w:rsidRDefault="00C64A02"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r w:rsidRPr="002E3BB1">
        <w:rPr>
          <w:rFonts w:asciiTheme="majorHAnsi" w:eastAsiaTheme="minorHAnsi" w:hAnsiTheme="majorHAnsi"/>
          <w:b/>
          <w:bCs/>
          <w:sz w:val="24"/>
          <w:szCs w:val="24"/>
          <w:lang w:eastAsia="en-US"/>
        </w:rPr>
        <w:t>o udzielenie wsparcia na operacje realizowane przez podmioty inne niż LGD</w:t>
      </w:r>
    </w:p>
    <w:p w:rsidR="006713FA" w:rsidRDefault="006713FA"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p>
    <w:p w:rsidR="006713FA" w:rsidRDefault="006713FA"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Nabór </w:t>
      </w:r>
      <w:r w:rsidR="00D4331A">
        <w:rPr>
          <w:rFonts w:asciiTheme="majorHAnsi" w:hAnsiTheme="majorHAnsi" w:cstheme="majorBidi"/>
          <w:b/>
          <w:sz w:val="24"/>
          <w:szCs w:val="24"/>
        </w:rPr>
        <w:t>6</w:t>
      </w:r>
      <w:r>
        <w:rPr>
          <w:rFonts w:asciiTheme="majorHAnsi" w:hAnsiTheme="majorHAnsi" w:cstheme="majorBidi"/>
          <w:b/>
          <w:sz w:val="24"/>
          <w:szCs w:val="24"/>
        </w:rPr>
        <w:t>/</w:t>
      </w:r>
      <w:r w:rsidR="00D4331A">
        <w:rPr>
          <w:rFonts w:asciiTheme="majorHAnsi" w:hAnsiTheme="majorHAnsi" w:cstheme="majorBidi"/>
          <w:b/>
          <w:sz w:val="24"/>
          <w:szCs w:val="24"/>
        </w:rPr>
        <w:t>2018</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W ramach Lokalnej Strategii Rozwoju na lata 2014-2020 dla obszaru</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Stowarzyszenia Lokalnej Grupy Działania „Kraina Mlekiem Płynąca”</w:t>
      </w:r>
    </w:p>
    <w:p w:rsidR="006713FA" w:rsidRDefault="006713FA" w:rsidP="006713FA">
      <w:pPr>
        <w:spacing w:after="0" w:line="360" w:lineRule="auto"/>
        <w:jc w:val="center"/>
        <w:rPr>
          <w:rFonts w:asciiTheme="majorHAnsi" w:hAnsiTheme="majorHAnsi" w:cstheme="majorBidi"/>
          <w:b/>
          <w:sz w:val="24"/>
          <w:szCs w:val="24"/>
        </w:rPr>
      </w:pP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PRZEDSIĘWZIĘCIE 3.1.2 Rewitalizacja </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Na operacje z zakresu: typ projektu nr 9 Rewitalizacja małej skali</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Działanie 8.6 Inwestycje na rzecz rozwoju lokalnego</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W ramach</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Regionalnego Programu Operacyjnego Województwa Podlaskiego </w:t>
      </w:r>
    </w:p>
    <w:p w:rsidR="006713FA" w:rsidRP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Na lata 2014-2020</w:t>
      </w:r>
    </w:p>
    <w:p w:rsidR="00470B63" w:rsidRPr="002E3BB1" w:rsidRDefault="00470B63" w:rsidP="00B8249A">
      <w:pPr>
        <w:autoSpaceDE w:val="0"/>
        <w:autoSpaceDN w:val="0"/>
        <w:adjustRightInd w:val="0"/>
        <w:spacing w:after="0" w:line="240" w:lineRule="auto"/>
        <w:jc w:val="center"/>
        <w:rPr>
          <w:rFonts w:asciiTheme="majorHAnsi" w:eastAsiaTheme="minorHAnsi" w:hAnsiTheme="majorHAnsi"/>
          <w:b/>
          <w:bCs/>
          <w:sz w:val="24"/>
          <w:szCs w:val="24"/>
          <w:lang w:eastAsia="en-US"/>
        </w:rPr>
      </w:pPr>
    </w:p>
    <w:tbl>
      <w:tblPr>
        <w:tblStyle w:val="Tabela-Siatka"/>
        <w:tblW w:w="9504" w:type="dxa"/>
        <w:tblLook w:val="04A0"/>
      </w:tblPr>
      <w:tblGrid>
        <w:gridCol w:w="9504"/>
      </w:tblGrid>
      <w:tr w:rsidR="006B73D6" w:rsidRPr="002E3BB1" w:rsidTr="00D33DB8">
        <w:trPr>
          <w:trHeight w:val="1824"/>
        </w:trPr>
        <w:tc>
          <w:tcPr>
            <w:tcW w:w="9504" w:type="dxa"/>
          </w:tcPr>
          <w:p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rsidR="00E6547E" w:rsidRDefault="008F4AA9" w:rsidP="00C64A02">
      <w:pPr>
        <w:pStyle w:val="Default"/>
        <w:pageBreakBefore/>
        <w:spacing w:after="360"/>
        <w:jc w:val="both"/>
        <w:rPr>
          <w:color w:val="auto"/>
        </w:rPr>
      </w:pPr>
      <w:r w:rsidRPr="00FC5FCC">
        <w:rPr>
          <w:noProof/>
        </w:rPr>
        <w:lastRenderedPageBreak/>
        <w:drawing>
          <wp:inline distT="0" distB="0" distL="0" distR="0">
            <wp:extent cx="5995670" cy="419735"/>
            <wp:effectExtent l="19050" t="19050" r="62230" b="1841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29"/>
        <w:gridCol w:w="8748"/>
        <w:gridCol w:w="375"/>
      </w:tblGrid>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6</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rsidR="008F4AA9" w:rsidRDefault="00F4749B" w:rsidP="00F4749B">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rsidR="00F65A2F" w:rsidRPr="00F65A2F" w:rsidRDefault="00F65A2F" w:rsidP="00F65A2F">
      <w:pPr>
        <w:pStyle w:val="Default"/>
        <w:jc w:val="both"/>
        <w:rPr>
          <w:rFonts w:asciiTheme="majorHAnsi" w:hAnsiTheme="majorHAnsi"/>
          <w:color w:val="auto"/>
        </w:rPr>
      </w:pPr>
    </w:p>
    <w:p w:rsidR="003530C5" w:rsidRPr="00FC5FCC" w:rsidRDefault="003530C5" w:rsidP="00F65A2F">
      <w:pPr>
        <w:pStyle w:val="Default"/>
        <w:jc w:val="both"/>
        <w:rPr>
          <w:rFonts w:asciiTheme="majorHAnsi" w:hAnsiTheme="majorHAnsi"/>
          <w:color w:val="auto"/>
        </w:rPr>
        <w:sectPr w:rsidR="003530C5" w:rsidRPr="00FC5FCC" w:rsidSect="00A56C26">
          <w:headerReference w:type="default" r:id="rId13"/>
          <w:footerReference w:type="default" r:id="rId14"/>
          <w:headerReference w:type="first" r:id="rId15"/>
          <w:pgSz w:w="11907" w:h="16839" w:code="9"/>
          <w:pgMar w:top="1792" w:right="1274" w:bottom="1778" w:left="1190" w:header="708" w:footer="708" w:gutter="0"/>
          <w:cols w:space="708"/>
          <w:noEndnote/>
          <w:titlePg/>
          <w:docGrid w:linePitch="299"/>
        </w:sectPr>
      </w:pPr>
    </w:p>
    <w:p w:rsidR="008F00D0" w:rsidRDefault="008F00D0" w:rsidP="005905F3">
      <w:pPr>
        <w:pStyle w:val="Nagwek1"/>
        <w:rPr>
          <w:rFonts w:asciiTheme="majorHAnsi" w:hAnsiTheme="majorHAnsi"/>
        </w:rPr>
      </w:pPr>
      <w:r w:rsidRPr="00FC5FCC">
        <w:rPr>
          <w:noProof/>
        </w:rPr>
        <w:lastRenderedPageBreak/>
        <w:drawing>
          <wp:inline distT="0" distB="0" distL="0" distR="0">
            <wp:extent cx="5995670" cy="420087"/>
            <wp:effectExtent l="19050" t="19050" r="62230" b="18063"/>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rsidR="00812ED8" w:rsidRPr="008F00D0" w:rsidRDefault="00812ED8" w:rsidP="00FC5FCC">
      <w:pPr>
        <w:spacing w:after="120" w:line="240" w:lineRule="auto"/>
        <w:jc w:val="both"/>
        <w:rPr>
          <w:rFonts w:asciiTheme="majorHAnsi" w:hAnsiTheme="majorHAnsi"/>
          <w:sz w:val="24"/>
          <w:szCs w:val="24"/>
        </w:rPr>
      </w:pPr>
    </w:p>
    <w:p w:rsidR="00812ED8" w:rsidRPr="008F00D0" w:rsidRDefault="00812ED8" w:rsidP="005905F3">
      <w:pPr>
        <w:pStyle w:val="Nagwek1"/>
      </w:pPr>
      <w:r w:rsidRPr="001C2DED">
        <w:rPr>
          <w:noProof/>
        </w:rPr>
        <w:drawing>
          <wp:inline distT="0" distB="0" distL="0" distR="0">
            <wp:extent cx="5924550" cy="561975"/>
            <wp:effectExtent l="19050" t="19050" r="5715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2" w:name="_Toc423074461"/>
      <w:bookmarkStart w:id="3" w:name="_Toc423074582"/>
      <w:bookmarkEnd w:id="2"/>
      <w:bookmarkEnd w:id="3"/>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rsidR="00D7134A" w:rsidRDefault="00D7134A" w:rsidP="00BD5135">
      <w:pPr>
        <w:pStyle w:val="Bezodstpw"/>
        <w:spacing w:after="120"/>
        <w:rPr>
          <w:rFonts w:asciiTheme="majorHAnsi" w:hAnsiTheme="majorHAnsi"/>
          <w:noProof/>
          <w:sz w:val="24"/>
          <w:szCs w:val="24"/>
        </w:rPr>
      </w:pPr>
      <w:bookmarkStart w:id="4" w:name="_Toc424721613"/>
      <w:bookmarkStart w:id="5" w:name="_Toc424724691"/>
      <w:bookmarkStart w:id="6" w:name="_Toc424728197"/>
      <w:bookmarkStart w:id="7" w:name="_Toc423074463"/>
      <w:bookmarkStart w:id="8" w:name="_Toc423074584"/>
      <w:bookmarkEnd w:id="4"/>
      <w:bookmarkEnd w:id="5"/>
      <w:bookmarkEnd w:id="6"/>
      <w:bookmarkEnd w:id="7"/>
      <w:bookmarkEnd w:id="8"/>
    </w:p>
    <w:p w:rsidR="00EE60E3" w:rsidRPr="00FC5FCC" w:rsidRDefault="00FE36B7" w:rsidP="005905F3">
      <w:pPr>
        <w:pStyle w:val="Nagwek1"/>
      </w:pPr>
      <w:r w:rsidRPr="006B4F25">
        <w:rPr>
          <w:noProof/>
        </w:rPr>
        <w:drawing>
          <wp:inline distT="0" distB="0" distL="0" distR="0">
            <wp:extent cx="5924550" cy="704850"/>
            <wp:effectExtent l="76200" t="19050" r="5715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7134A" w:rsidRPr="00C64A52" w:rsidRDefault="00340115" w:rsidP="00D7134A">
      <w:pPr>
        <w:pStyle w:val="Bezodstpw"/>
        <w:jc w:val="both"/>
        <w:rPr>
          <w:rFonts w:asciiTheme="majorHAnsi" w:hAnsiTheme="majorHAnsi"/>
          <w:sz w:val="24"/>
          <w:szCs w:val="24"/>
        </w:rPr>
      </w:pPr>
      <w:bookmarkStart w:id="9" w:name="_Toc423074465"/>
      <w:bookmarkStart w:id="10" w:name="_Toc423074586"/>
      <w:bookmarkStart w:id="11" w:name="_Toc424721615"/>
      <w:bookmarkStart w:id="12" w:name="_Toc424724693"/>
      <w:bookmarkStart w:id="13" w:name="_Toc424728199"/>
      <w:bookmarkStart w:id="14" w:name="_Toc423074466"/>
      <w:bookmarkStart w:id="15" w:name="_Toc423074587"/>
      <w:bookmarkStart w:id="16" w:name="_Toc424721616"/>
      <w:bookmarkStart w:id="17" w:name="_Toc424724694"/>
      <w:bookmarkStart w:id="18" w:name="_Toc424728200"/>
      <w:bookmarkStart w:id="19" w:name="_Toc447795853"/>
      <w:bookmarkEnd w:id="9"/>
      <w:bookmarkEnd w:id="10"/>
      <w:bookmarkEnd w:id="11"/>
      <w:bookmarkEnd w:id="12"/>
      <w:bookmarkEnd w:id="13"/>
      <w:bookmarkEnd w:id="14"/>
      <w:bookmarkEnd w:id="15"/>
      <w:bookmarkEnd w:id="16"/>
      <w:bookmarkEnd w:id="17"/>
      <w:bookmarkEnd w:id="18"/>
      <w:r w:rsidRPr="00C64A52">
        <w:rPr>
          <w:rFonts w:asciiTheme="majorHAnsi" w:hAnsiTheme="majorHAnsi"/>
          <w:sz w:val="24"/>
          <w:szCs w:val="24"/>
        </w:rPr>
        <w:t xml:space="preserve">Obowiązkowym załącznikiem dla projektów infrastrukturalnych jest </w:t>
      </w:r>
      <w:r w:rsidRPr="00C64A52">
        <w:rPr>
          <w:rFonts w:asciiTheme="majorHAnsi" w:hAnsiTheme="majorHAnsi"/>
          <w:b/>
          <w:bCs/>
          <w:i/>
          <w:iCs/>
          <w:sz w:val="24"/>
          <w:szCs w:val="24"/>
        </w:rPr>
        <w:t>Formularz w zakresie Oceny Oddziaływania na Środowisko</w:t>
      </w:r>
      <w:r w:rsidR="001D4012">
        <w:rPr>
          <w:rFonts w:asciiTheme="majorHAnsi" w:hAnsiTheme="majorHAnsi"/>
          <w:bCs/>
          <w:iCs/>
          <w:sz w:val="24"/>
          <w:szCs w:val="24"/>
        </w:rPr>
        <w:t xml:space="preserve">(załącznik nr </w:t>
      </w:r>
      <w:r w:rsidR="00946311">
        <w:rPr>
          <w:rFonts w:asciiTheme="majorHAnsi" w:hAnsiTheme="majorHAnsi"/>
          <w:bCs/>
          <w:iCs/>
          <w:sz w:val="24"/>
          <w:szCs w:val="24"/>
        </w:rPr>
        <w:t>5</w:t>
      </w:r>
      <w:r w:rsidR="00E10D39">
        <w:rPr>
          <w:rFonts w:asciiTheme="majorHAnsi" w:hAnsiTheme="majorHAnsi"/>
          <w:bCs/>
          <w:iCs/>
          <w:sz w:val="24"/>
          <w:szCs w:val="24"/>
        </w:rPr>
        <w:t>a</w:t>
      </w:r>
      <w:r w:rsidR="00946311">
        <w:rPr>
          <w:rFonts w:asciiTheme="majorHAnsi" w:hAnsiTheme="majorHAnsi"/>
          <w:bCs/>
          <w:iCs/>
          <w:sz w:val="24"/>
          <w:szCs w:val="24"/>
        </w:rPr>
        <w:t xml:space="preserve"> </w:t>
      </w:r>
      <w:r w:rsidR="007E35F0" w:rsidRPr="007E35F0">
        <w:rPr>
          <w:rFonts w:asciiTheme="majorHAnsi" w:hAnsiTheme="majorHAnsi"/>
          <w:bCs/>
          <w:iCs/>
          <w:sz w:val="24"/>
          <w:szCs w:val="24"/>
        </w:rPr>
        <w:t>do ogłoszenia)</w:t>
      </w:r>
      <w:r w:rsidRPr="00C64A52">
        <w:rPr>
          <w:rFonts w:asciiTheme="majorHAnsi" w:hAnsiTheme="majorHAnsi"/>
          <w:sz w:val="24"/>
          <w:szCs w:val="24"/>
        </w:rPr>
        <w:t xml:space="preserve">  wraz </w:t>
      </w:r>
      <w:r w:rsidR="007E35F0">
        <w:rPr>
          <w:rFonts w:asciiTheme="majorHAnsi" w:hAnsiTheme="majorHAnsi"/>
          <w:i/>
          <w:sz w:val="24"/>
          <w:szCs w:val="24"/>
        </w:rPr>
        <w:t>z Instrukcją wypełniania (</w:t>
      </w:r>
      <w:r w:rsidR="007E35F0">
        <w:rPr>
          <w:rFonts w:asciiTheme="majorHAnsi" w:hAnsiTheme="majorHAnsi"/>
          <w:sz w:val="24"/>
          <w:szCs w:val="24"/>
        </w:rPr>
        <w:t>załącznik nr</w:t>
      </w:r>
      <w:r w:rsidR="001D4012">
        <w:rPr>
          <w:rFonts w:asciiTheme="majorHAnsi" w:hAnsiTheme="majorHAnsi"/>
          <w:sz w:val="24"/>
          <w:szCs w:val="24"/>
        </w:rPr>
        <w:t xml:space="preserve"> </w:t>
      </w:r>
      <w:r w:rsidR="00946311">
        <w:rPr>
          <w:rFonts w:asciiTheme="majorHAnsi" w:hAnsiTheme="majorHAnsi"/>
          <w:sz w:val="24"/>
          <w:szCs w:val="24"/>
        </w:rPr>
        <w:t>5</w:t>
      </w:r>
      <w:r w:rsidR="00E10D39">
        <w:rPr>
          <w:rFonts w:asciiTheme="majorHAnsi" w:hAnsiTheme="majorHAnsi"/>
          <w:sz w:val="24"/>
          <w:szCs w:val="24"/>
        </w:rPr>
        <w:t>b</w:t>
      </w:r>
      <w:r w:rsidR="0076224E">
        <w:rPr>
          <w:rFonts w:asciiTheme="majorHAnsi" w:hAnsiTheme="majorHAnsi"/>
          <w:sz w:val="24"/>
          <w:szCs w:val="24"/>
        </w:rPr>
        <w:t xml:space="preserve"> </w:t>
      </w:r>
      <w:r w:rsidR="007E35F0">
        <w:rPr>
          <w:rFonts w:asciiTheme="majorHAnsi" w:hAnsiTheme="majorHAnsi"/>
          <w:sz w:val="24"/>
          <w:szCs w:val="24"/>
        </w:rPr>
        <w:t>do ogłoszenia)</w:t>
      </w:r>
      <w:r w:rsidRPr="00C64A52">
        <w:rPr>
          <w:rFonts w:asciiTheme="majorHAnsi" w:hAnsiTheme="majorHAnsi"/>
          <w:sz w:val="24"/>
          <w:szCs w:val="24"/>
        </w:rPr>
        <w:t>.</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lastRenderedPageBreak/>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 xml:space="preserve">Ustawą </w:t>
      </w:r>
      <w:proofErr w:type="spellStart"/>
      <w:r w:rsidRPr="00C64A52">
        <w:rPr>
          <w:rFonts w:asciiTheme="majorHAnsi" w:hAnsiTheme="majorHAnsi" w:cs="Times New Roman"/>
          <w:i/>
          <w:iCs/>
          <w:sz w:val="24"/>
          <w:szCs w:val="24"/>
        </w:rPr>
        <w:t>op</w:t>
      </w:r>
      <w:proofErr w:type="spellEnd"/>
      <w:r w:rsidRPr="00C64A52">
        <w:rPr>
          <w:rFonts w:asciiTheme="majorHAnsi" w:hAnsiTheme="majorHAnsi" w:cs="Times New Roman"/>
          <w:i/>
          <w:iCs/>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Pr="00C64A52">
        <w:rPr>
          <w:rFonts w:asciiTheme="majorHAnsi" w:hAnsiTheme="majorHAnsi" w:cs="Times New Roman"/>
          <w:sz w:val="24"/>
          <w:szCs w:val="24"/>
        </w:rPr>
        <w:t>.</w:t>
      </w:r>
    </w:p>
    <w:p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lastRenderedPageBreak/>
        <w:t>postanowienie RDOŚ uzgadniające decyzję,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9"/>
    <w:p w:rsidR="00D7134A" w:rsidRDefault="00D7134A" w:rsidP="00C80291">
      <w:pPr>
        <w:pStyle w:val="Bezodstpw"/>
        <w:jc w:val="both"/>
        <w:rPr>
          <w:rFonts w:asciiTheme="majorHAnsi" w:hAnsiTheme="majorHAnsi" w:cs="Times New Roman"/>
          <w:sz w:val="24"/>
          <w:szCs w:val="24"/>
          <w:highlight w:val="yellow"/>
        </w:rPr>
      </w:pPr>
    </w:p>
    <w:p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rsidR="00D7134A" w:rsidRPr="00C64A52" w:rsidRDefault="00D7134A" w:rsidP="00C80291">
      <w:pPr>
        <w:pStyle w:val="Bezodstpw"/>
        <w:rPr>
          <w:rFonts w:asciiTheme="majorHAnsi" w:hAnsiTheme="majorHAnsi"/>
          <w:b/>
          <w:sz w:val="24"/>
          <w:szCs w:val="24"/>
          <w:highlight w:val="yellow"/>
        </w:rPr>
      </w:pPr>
    </w:p>
    <w:p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46311">
        <w:rPr>
          <w:rFonts w:asciiTheme="majorHAnsi" w:hAnsiTheme="majorHAnsi"/>
          <w:b/>
          <w:color w:val="auto"/>
        </w:rPr>
        <w:t>5</w:t>
      </w:r>
      <w:r w:rsidR="00E10D39">
        <w:rPr>
          <w:rFonts w:asciiTheme="majorHAnsi" w:hAnsiTheme="majorHAnsi"/>
          <w:b/>
          <w:color w:val="auto"/>
        </w:rPr>
        <w:t>a</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rsidR="00EE60E3" w:rsidRPr="00FC5FCC" w:rsidRDefault="00D40769" w:rsidP="005905F3">
      <w:pPr>
        <w:pStyle w:val="Nagwek1"/>
      </w:pPr>
      <w:r w:rsidRPr="00FC5FCC">
        <w:rPr>
          <w:noProof/>
        </w:rPr>
        <w:drawing>
          <wp:inline distT="0" distB="0" distL="0" distR="0">
            <wp:extent cx="5924550" cy="704850"/>
            <wp:effectExtent l="76200" t="19050" r="7620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40769" w:rsidRPr="00FC5FCC" w:rsidRDefault="00D40769" w:rsidP="00FC5FCC">
      <w:pPr>
        <w:pStyle w:val="Bezodstpw"/>
        <w:rPr>
          <w:rFonts w:asciiTheme="majorHAnsi" w:hAnsiTheme="majorHAnsi"/>
          <w:sz w:val="28"/>
          <w:szCs w:val="28"/>
        </w:rPr>
      </w:pPr>
    </w:p>
    <w:p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w:t>
      </w:r>
      <w:r w:rsidR="006C21D6" w:rsidRPr="00FC5FCC">
        <w:rPr>
          <w:rFonts w:asciiTheme="majorHAnsi" w:hAnsiTheme="majorHAnsi" w:cs="Times New Roman"/>
          <w:sz w:val="24"/>
          <w:szCs w:val="24"/>
        </w:rPr>
        <w:lastRenderedPageBreak/>
        <w:t>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rsidR="00106291" w:rsidRPr="00FC5FCC" w:rsidRDefault="00106291" w:rsidP="00FC5FCC">
      <w:pPr>
        <w:spacing w:after="120" w:line="240" w:lineRule="auto"/>
        <w:jc w:val="both"/>
        <w:rPr>
          <w:rFonts w:asciiTheme="majorHAnsi" w:hAnsiTheme="majorHAnsi" w:cs="Times New Roman"/>
          <w:sz w:val="24"/>
          <w:szCs w:val="24"/>
        </w:rPr>
      </w:pP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w:t>
      </w:r>
      <w:proofErr w:type="spellStart"/>
      <w:r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należy załączyć aktualny wypis i wyrys</w:t>
      </w:r>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proofErr w:type="spellStart"/>
      <w:r w:rsidR="001039BE"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nieruchomości objętej/-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projektem oraz link/-ki do części graficznej.</w:t>
      </w:r>
    </w:p>
    <w:p w:rsidR="002A63AC" w:rsidRDefault="002A63AC" w:rsidP="00FC5FCC">
      <w:pPr>
        <w:spacing w:after="120" w:line="240" w:lineRule="auto"/>
        <w:jc w:val="both"/>
        <w:rPr>
          <w:rFonts w:asciiTheme="majorHAnsi" w:hAnsiTheme="majorHAnsi" w:cs="Times New Roman"/>
          <w:sz w:val="24"/>
          <w:szCs w:val="24"/>
        </w:rPr>
      </w:pPr>
    </w:p>
    <w:p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t>Kopia decyzji o ustaleniu lokalizacji inwestycji celu publicznego</w:t>
      </w:r>
    </w:p>
    <w:p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lastRenderedPageBreak/>
        <w:t>Jednocześnie, zgodnie z zapisami ww. ustawy, roboty budowlane niewymagające pozwolenia na budowę nie wymagają decyzji o ustaleniu lokalizacji inwestycji celu publicznego.</w:t>
      </w:r>
    </w:p>
    <w:p w:rsidR="00D40769" w:rsidRPr="00FC5FCC" w:rsidRDefault="00D40769" w:rsidP="00FC5FCC">
      <w:pPr>
        <w:spacing w:after="120" w:line="240" w:lineRule="auto"/>
        <w:jc w:val="both"/>
        <w:rPr>
          <w:rFonts w:asciiTheme="majorHAnsi" w:hAnsiTheme="majorHAnsi" w:cs="Times New Roman"/>
          <w:sz w:val="24"/>
          <w:szCs w:val="24"/>
        </w:rPr>
      </w:pPr>
    </w:p>
    <w:p w:rsidR="004F5B7A" w:rsidRPr="00FC5FCC" w:rsidRDefault="00D40769" w:rsidP="005905F3">
      <w:pPr>
        <w:pStyle w:val="Nagwek1"/>
      </w:pPr>
      <w:r w:rsidRPr="001C2DED">
        <w:rPr>
          <w:noProof/>
        </w:rPr>
        <w:drawing>
          <wp:inline distT="0" distB="0" distL="0" distR="0">
            <wp:extent cx="5925787" cy="522514"/>
            <wp:effectExtent l="19050" t="19050" r="55913" b="10886"/>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40769" w:rsidRDefault="00D40769" w:rsidP="00FC5FCC">
      <w:pPr>
        <w:pStyle w:val="Akapitzlist"/>
        <w:spacing w:after="120" w:line="240" w:lineRule="auto"/>
        <w:ind w:left="0"/>
        <w:jc w:val="both"/>
        <w:rPr>
          <w:rFonts w:asciiTheme="majorHAnsi" w:hAnsiTheme="majorHAnsi"/>
          <w:i/>
          <w:sz w:val="28"/>
          <w:szCs w:val="28"/>
        </w:rPr>
      </w:pPr>
      <w:bookmarkStart w:id="20" w:name="_Toc424740057"/>
      <w:bookmarkStart w:id="21" w:name="_Toc447795855"/>
    </w:p>
    <w:bookmarkEnd w:id="20"/>
    <w:bookmarkEnd w:id="21"/>
    <w:p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E10D39">
        <w:rPr>
          <w:rFonts w:asciiTheme="majorHAnsi" w:hAnsiTheme="majorHAnsi" w:cs="Times New Roman"/>
          <w:sz w:val="24"/>
          <w:szCs w:val="24"/>
          <w:u w:val="single"/>
        </w:rPr>
        <w:t xml:space="preserve"> </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późn. </w:t>
      </w:r>
      <w:proofErr w:type="spellStart"/>
      <w:r w:rsidR="001A1D4F" w:rsidRPr="002E5C2D">
        <w:rPr>
          <w:rFonts w:asciiTheme="majorHAnsi" w:hAnsiTheme="majorHAnsi" w:cs="Times New Roman"/>
          <w:sz w:val="24"/>
          <w:szCs w:val="24"/>
        </w:rPr>
        <w:t>zm</w:t>
      </w:r>
      <w:proofErr w:type="spellEnd"/>
      <w:r w:rsidR="001A1D4F" w:rsidRPr="002E5C2D">
        <w:rPr>
          <w:rFonts w:asciiTheme="majorHAnsi" w:hAnsiTheme="majorHAnsi" w:cs="Times New Roman"/>
          <w:sz w:val="24"/>
          <w:szCs w:val="24"/>
        </w:rPr>
        <w:t xml:space="preserve">),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t>
      </w:r>
      <w:proofErr w:type="spellStart"/>
      <w:r w:rsidRPr="008D568E">
        <w:rPr>
          <w:rFonts w:asciiTheme="majorHAnsi" w:hAnsiTheme="majorHAnsi" w:cs="Times New Roman"/>
          <w:sz w:val="24"/>
          <w:szCs w:val="24"/>
          <w:u w:val="single"/>
        </w:rPr>
        <w:t>WNiP</w:t>
      </w:r>
      <w:proofErr w:type="spellEnd"/>
      <w:r w:rsidRPr="008D568E">
        <w:rPr>
          <w:rFonts w:asciiTheme="majorHAnsi" w:hAnsiTheme="majorHAnsi" w:cs="Times New Roman"/>
          <w:sz w:val="24"/>
          <w:szCs w:val="24"/>
          <w:u w:val="single"/>
        </w:rPr>
        <w:t>)</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t>
      </w:r>
      <w:proofErr w:type="spellStart"/>
      <w:r w:rsidRPr="002E5C2D">
        <w:rPr>
          <w:rFonts w:asciiTheme="majorHAnsi" w:hAnsiTheme="majorHAnsi" w:cs="Times New Roman"/>
          <w:sz w:val="24"/>
          <w:szCs w:val="24"/>
        </w:rPr>
        <w:t>WNiP</w:t>
      </w:r>
      <w:proofErr w:type="spellEnd"/>
      <w:r w:rsidRPr="002E5C2D">
        <w:rPr>
          <w:rFonts w:asciiTheme="majorHAnsi" w:hAnsiTheme="majorHAnsi" w:cs="Times New Roman"/>
          <w:sz w:val="24"/>
          <w:szCs w:val="24"/>
        </w:rPr>
        <w:t>).</w:t>
      </w:r>
    </w:p>
    <w:p w:rsidR="001C2DED" w:rsidRPr="00FC5FCC" w:rsidRDefault="001C2DED" w:rsidP="00FC5FCC">
      <w:pPr>
        <w:pStyle w:val="Akapitzlist"/>
        <w:spacing w:after="120" w:line="240" w:lineRule="auto"/>
        <w:jc w:val="both"/>
        <w:rPr>
          <w:rFonts w:asciiTheme="majorHAnsi" w:hAnsiTheme="majorHAnsi" w:cs="Times New Roman"/>
          <w:sz w:val="24"/>
          <w:szCs w:val="24"/>
        </w:rPr>
      </w:pPr>
    </w:p>
    <w:p w:rsidR="006C21D6" w:rsidRPr="00FC5FCC" w:rsidRDefault="00D40769" w:rsidP="005905F3">
      <w:pPr>
        <w:pStyle w:val="Nagwek1"/>
        <w:rPr>
          <w:rFonts w:asciiTheme="majorHAnsi" w:hAnsiTheme="majorHAnsi"/>
          <w:sz w:val="24"/>
          <w:szCs w:val="24"/>
        </w:rPr>
      </w:pPr>
      <w:r w:rsidRPr="00FC5FCC">
        <w:rPr>
          <w:noProof/>
        </w:rPr>
        <w:drawing>
          <wp:inline distT="0" distB="0" distL="0" distR="0">
            <wp:extent cx="5925787" cy="522514"/>
            <wp:effectExtent l="19050" t="19050" r="55913" b="10886"/>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6669B" w:rsidRPr="008D568E" w:rsidRDefault="0026669B" w:rsidP="00FC5FCC">
      <w:pPr>
        <w:pStyle w:val="Bezodstpw"/>
        <w:rPr>
          <w:rFonts w:asciiTheme="majorHAnsi" w:hAnsiTheme="majorHAnsi"/>
          <w:color w:val="FF0000"/>
          <w:sz w:val="24"/>
          <w:szCs w:val="24"/>
        </w:rPr>
      </w:pPr>
    </w:p>
    <w:p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 xml:space="preserve">Ministra Infrastruktury z dnia 18 maja 2004 r. w sprawie określenia metod i podstaw sporządzania kosztorysu inwestorskiego, </w:t>
      </w:r>
      <w:r w:rsidRPr="001A52AC">
        <w:rPr>
          <w:rFonts w:asciiTheme="majorHAnsi" w:hAnsiTheme="majorHAnsi" w:cs="Times New Roman"/>
          <w:i/>
          <w:sz w:val="24"/>
          <w:szCs w:val="24"/>
        </w:rPr>
        <w:lastRenderedPageBreak/>
        <w:t>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rsidR="00523B1A" w:rsidRPr="008D568E" w:rsidRDefault="00523B1A" w:rsidP="00FC5FCC">
      <w:pPr>
        <w:pStyle w:val="Bezodstpw"/>
        <w:rPr>
          <w:rFonts w:asciiTheme="majorHAnsi" w:hAnsiTheme="majorHAnsi"/>
          <w:sz w:val="24"/>
          <w:szCs w:val="24"/>
        </w:rPr>
      </w:pPr>
    </w:p>
    <w:p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metodologia powinna obejmować wartość poniesionych nakładów na wytworzenie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w tym cenę jednej roboczogodziny i ilość roboczogodzin; w przypadku usług należy oszacować wartość poszczególnych etapów planowanych prac z uwzględnieniem czasu i ceny jednostkowej). </w:t>
      </w:r>
    </w:p>
    <w:p w:rsidR="008F33A5" w:rsidRDefault="008F33A5" w:rsidP="00C64A52">
      <w:pPr>
        <w:pStyle w:val="Akapitzlist"/>
        <w:spacing w:after="0" w:line="240" w:lineRule="auto"/>
        <w:ind w:left="0"/>
        <w:contextualSpacing w:val="0"/>
        <w:jc w:val="both"/>
      </w:pPr>
    </w:p>
    <w:p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rsidR="0066298A" w:rsidRDefault="0066298A" w:rsidP="00CF3C48">
      <w:pPr>
        <w:spacing w:after="0" w:line="240" w:lineRule="auto"/>
        <w:jc w:val="both"/>
        <w:rPr>
          <w:rFonts w:asciiTheme="majorHAnsi" w:hAnsiTheme="majorHAnsi" w:cs="Times New Roman"/>
          <w:b/>
          <w:sz w:val="24"/>
          <w:szCs w:val="24"/>
        </w:rPr>
      </w:pPr>
    </w:p>
    <w:p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rsidR="00D40769" w:rsidRDefault="00D40769" w:rsidP="00FC5FCC">
      <w:pPr>
        <w:pStyle w:val="Akapitzlist"/>
        <w:spacing w:after="120" w:line="240" w:lineRule="auto"/>
        <w:ind w:left="0"/>
        <w:jc w:val="both"/>
        <w:rPr>
          <w:rFonts w:asciiTheme="majorHAnsi" w:hAnsiTheme="majorHAnsi" w:cs="Times New Roman"/>
          <w:sz w:val="24"/>
          <w:szCs w:val="24"/>
        </w:rPr>
      </w:pPr>
    </w:p>
    <w:p w:rsidR="00D40769" w:rsidRPr="00FC5FCC" w:rsidRDefault="00D40769" w:rsidP="005905F3">
      <w:pPr>
        <w:pStyle w:val="Nagwek1"/>
        <w:rPr>
          <w:rFonts w:asciiTheme="majorHAnsi" w:hAnsiTheme="majorHAnsi"/>
          <w:sz w:val="24"/>
          <w:szCs w:val="24"/>
        </w:rPr>
      </w:pPr>
      <w:r w:rsidRPr="00FC5FCC">
        <w:rPr>
          <w:noProof/>
        </w:rPr>
        <w:drawing>
          <wp:inline distT="0" distB="0" distL="0" distR="0">
            <wp:extent cx="5937662" cy="783771"/>
            <wp:effectExtent l="76200" t="0" r="63088"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5530D" w:rsidRDefault="006C21D6" w:rsidP="00FC5FCC">
      <w:pPr>
        <w:pStyle w:val="Default"/>
        <w:spacing w:after="120"/>
        <w:jc w:val="both"/>
        <w:rPr>
          <w:rFonts w:asciiTheme="majorHAnsi" w:hAnsiTheme="majorHAnsi"/>
          <w:color w:val="auto"/>
        </w:rPr>
      </w:pPr>
      <w:bookmarkStart w:id="22" w:name="_Toc424740059"/>
      <w:bookmarkStart w:id="23" w:name="_Toc424740060"/>
      <w:bookmarkStart w:id="24" w:name="_Toc424740061"/>
      <w:bookmarkStart w:id="25" w:name="_Toc424740062"/>
      <w:bookmarkStart w:id="26" w:name="_Toc424740063"/>
      <w:bookmarkEnd w:id="22"/>
      <w:bookmarkEnd w:id="23"/>
      <w:bookmarkEnd w:id="24"/>
      <w:bookmarkEnd w:id="25"/>
      <w:bookmarkEnd w:id="26"/>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w:t>
      </w:r>
      <w:r w:rsidR="00766539" w:rsidRPr="00FC5FCC">
        <w:rPr>
          <w:rFonts w:asciiTheme="majorHAnsi" w:hAnsiTheme="majorHAnsi"/>
          <w:i/>
          <w:color w:val="auto"/>
        </w:rPr>
        <w:lastRenderedPageBreak/>
        <w:t xml:space="preserve">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F7559D">
        <w:rPr>
          <w:rFonts w:asciiTheme="majorHAnsi" w:hAnsiTheme="majorHAnsi" w:cs="Times New Roman"/>
          <w:b/>
        </w:rPr>
        <w:t xml:space="preserve"> 5c</w:t>
      </w:r>
      <w:r w:rsidR="00E10D39">
        <w:rPr>
          <w:rFonts w:asciiTheme="majorHAnsi" w:hAnsiTheme="majorHAnsi" w:cs="Times New Roman"/>
          <w:b/>
        </w:rPr>
        <w:t xml:space="preserve"> </w:t>
      </w:r>
      <w:r w:rsidR="008666FA">
        <w:rPr>
          <w:rFonts w:asciiTheme="majorHAnsi" w:hAnsiTheme="majorHAnsi" w:cs="Times New Roman"/>
          <w:b/>
        </w:rPr>
        <w:t xml:space="preserve">Ogłoszenia </w:t>
      </w:r>
      <w:r w:rsidR="00DF7CAE">
        <w:rPr>
          <w:rFonts w:asciiTheme="majorHAnsi" w:hAnsiTheme="majorHAnsi" w:cs="Times New Roman"/>
          <w:b/>
        </w:rPr>
        <w:t>o naborze</w:t>
      </w:r>
      <w:r w:rsidR="00340115" w:rsidRPr="00C64A52">
        <w:rPr>
          <w:rFonts w:asciiTheme="majorHAnsi" w:hAnsiTheme="majorHAnsi" w:cs="Times New Roman"/>
          <w:b/>
        </w:rPr>
        <w:t>.</w:t>
      </w:r>
    </w:p>
    <w:p w:rsidR="008F33A5" w:rsidRPr="00C64A52" w:rsidRDefault="008F33A5" w:rsidP="00C64A52">
      <w:pPr>
        <w:spacing w:after="0" w:line="240" w:lineRule="auto"/>
        <w:jc w:val="both"/>
        <w:rPr>
          <w:rFonts w:asciiTheme="majorHAnsi" w:hAnsiTheme="majorHAnsi"/>
        </w:rPr>
      </w:pPr>
    </w:p>
    <w:p w:rsidR="00DB1F5C" w:rsidRDefault="00D40769" w:rsidP="008A4464">
      <w:pPr>
        <w:pStyle w:val="Nagwek1"/>
        <w:rPr>
          <w:rFonts w:asciiTheme="majorHAnsi" w:hAnsiTheme="majorHAnsi"/>
        </w:rPr>
      </w:pPr>
      <w:bookmarkStart w:id="27" w:name="_Toc423071517"/>
      <w:bookmarkStart w:id="28" w:name="_Toc423071564"/>
      <w:bookmarkStart w:id="29" w:name="_Toc423071612"/>
      <w:bookmarkStart w:id="30" w:name="_Toc423071518"/>
      <w:bookmarkStart w:id="31" w:name="_Toc423071565"/>
      <w:bookmarkStart w:id="32" w:name="_Toc423071613"/>
      <w:bookmarkStart w:id="33" w:name="_Toc422894244"/>
      <w:bookmarkStart w:id="34" w:name="_Toc422894292"/>
      <w:bookmarkStart w:id="35" w:name="_Toc423071523"/>
      <w:bookmarkStart w:id="36" w:name="_Toc423071570"/>
      <w:bookmarkStart w:id="37" w:name="_Toc423071618"/>
      <w:bookmarkStart w:id="38" w:name="_Toc423074471"/>
      <w:bookmarkStart w:id="39" w:name="_Toc423074592"/>
      <w:bookmarkStart w:id="40" w:name="_Toc424721621"/>
      <w:bookmarkStart w:id="41" w:name="_Toc424724699"/>
      <w:bookmarkStart w:id="42" w:name="_Toc424728205"/>
      <w:bookmarkStart w:id="43" w:name="_Toc423074472"/>
      <w:bookmarkStart w:id="44" w:name="_Toc423074593"/>
      <w:bookmarkStart w:id="45" w:name="_Toc424721622"/>
      <w:bookmarkStart w:id="46" w:name="_Toc424724700"/>
      <w:bookmarkStart w:id="47" w:name="_Toc424728206"/>
      <w:bookmarkStart w:id="48" w:name="_Toc423074473"/>
      <w:bookmarkStart w:id="49" w:name="_Toc423074594"/>
      <w:bookmarkStart w:id="50" w:name="_Toc424721623"/>
      <w:bookmarkStart w:id="51" w:name="_Toc424724701"/>
      <w:bookmarkStart w:id="52" w:name="_Toc424728207"/>
      <w:bookmarkStart w:id="53" w:name="_Toc423074474"/>
      <w:bookmarkStart w:id="54" w:name="_Toc423074595"/>
      <w:bookmarkStart w:id="55" w:name="_Toc424721624"/>
      <w:bookmarkStart w:id="56" w:name="_Toc424724702"/>
      <w:bookmarkStart w:id="57" w:name="_Toc424728208"/>
      <w:bookmarkStart w:id="58" w:name="_Toc423074475"/>
      <w:bookmarkStart w:id="59" w:name="_Toc423074596"/>
      <w:bookmarkStart w:id="60" w:name="_Toc424721625"/>
      <w:bookmarkStart w:id="61" w:name="_Toc424724703"/>
      <w:bookmarkStart w:id="62" w:name="_Toc424728209"/>
      <w:bookmarkStart w:id="63" w:name="_Toc423074476"/>
      <w:bookmarkStart w:id="64" w:name="_Toc42307459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FC5FCC">
        <w:rPr>
          <w:noProof/>
        </w:rPr>
        <w:drawing>
          <wp:inline distT="0" distB="0" distL="0" distR="0">
            <wp:extent cx="5937662" cy="783771"/>
            <wp:effectExtent l="76200" t="0" r="63088"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D40769" w:rsidRPr="00FC5FCC" w:rsidRDefault="00D40769" w:rsidP="00FC5FCC">
      <w:pPr>
        <w:pStyle w:val="Bezodstpw"/>
        <w:rPr>
          <w:rFonts w:asciiTheme="majorHAnsi" w:hAnsiTheme="majorHAnsi"/>
        </w:rPr>
      </w:pPr>
    </w:p>
    <w:p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sidRPr="000E7A2A">
        <w:rPr>
          <w:rFonts w:asciiTheme="majorHAnsi" w:hAnsiTheme="majorHAnsi" w:cs="Times New Roman"/>
          <w:sz w:val="24"/>
          <w:szCs w:val="24"/>
        </w:rPr>
        <w:t>5</w:t>
      </w:r>
      <w:r w:rsidR="00A23E3C" w:rsidRPr="000E7A2A">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odzyskanie tego podatku, Wnioskodawca, zobowiązuje się do zwrotu zrefundowanej w ramach projektu części poniesionego podatku VAT.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 xml:space="preserve">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w:t>
      </w:r>
      <w:r w:rsidR="002B378D" w:rsidRPr="00070726">
        <w:rPr>
          <w:rFonts w:asciiTheme="majorHAnsi" w:hAnsiTheme="majorHAnsi"/>
          <w:sz w:val="24"/>
          <w:szCs w:val="24"/>
        </w:rPr>
        <w:lastRenderedPageBreak/>
        <w:t xml:space="preserve">samorządu terytorialnego (DU/2016/1454 z </w:t>
      </w:r>
      <w:proofErr w:type="spellStart"/>
      <w:r w:rsidR="002B378D" w:rsidRPr="00070726">
        <w:rPr>
          <w:rFonts w:asciiTheme="majorHAnsi" w:hAnsiTheme="majorHAnsi"/>
          <w:sz w:val="24"/>
          <w:szCs w:val="24"/>
        </w:rPr>
        <w:t>póź</w:t>
      </w:r>
      <w:proofErr w:type="spellEnd"/>
      <w:r w:rsidR="002B378D" w:rsidRPr="00070726">
        <w:rPr>
          <w:rFonts w:asciiTheme="majorHAnsi" w:hAnsiTheme="majorHAnsi"/>
          <w:sz w:val="24"/>
          <w:szCs w:val="24"/>
        </w:rPr>
        <w:t>.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wyrok</w:t>
      </w:r>
      <w:r w:rsidR="00AB001D">
        <w:rPr>
          <w:rFonts w:asciiTheme="majorHAnsi" w:hAnsiTheme="majorHAnsi"/>
          <w:sz w:val="24"/>
          <w:szCs w:val="24"/>
        </w:rPr>
        <w:t xml:space="preserve"> </w:t>
      </w:r>
      <w:r w:rsidRPr="00471DAA">
        <w:rPr>
          <w:rFonts w:asciiTheme="majorHAnsi" w:hAnsiTheme="majorHAnsi" w:cs="Times New Roman"/>
          <w:sz w:val="24"/>
          <w:szCs w:val="24"/>
        </w:rPr>
        <w:t>Trybunału Sprawiedliwości UE z dnia 29 września 2015 r. w sprawie prejudycjalnej C-276/14 oraz uchwałą Naczelnego Sądu Administracyjnego o sygnaturze akt I FPS 4/15.</w:t>
      </w:r>
      <w:r w:rsidR="00AB001D">
        <w:rPr>
          <w:rFonts w:asciiTheme="majorHAnsi" w:hAnsiTheme="majorHAnsi" w:cs="Times New Roman"/>
          <w:sz w:val="24"/>
          <w:szCs w:val="24"/>
        </w:rPr>
        <w:t xml:space="preserve"> </w:t>
      </w:r>
      <w:r w:rsidRPr="00471DAA">
        <w:rPr>
          <w:rFonts w:asciiTheme="majorHAnsi" w:hAnsiTheme="majorHAnsi" w:cs="Times New Roman"/>
          <w:sz w:val="24"/>
          <w:szCs w:val="24"/>
        </w:rPr>
        <w:t>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 xml:space="preserve">prowadzona zmiana nie może prowadzić do zakwalifikowania podatku VAT pierwotnie wykazanego jako niekwalifikowalny, a tym samym zwiększenia kwoty dofinansowania. Oczywiście w sytuacji, gdy opinia </w:t>
      </w:r>
      <w:r w:rsidR="009F1360">
        <w:rPr>
          <w:rFonts w:asciiTheme="majorHAnsi" w:hAnsiTheme="majorHAnsi" w:cs="Times New Roman"/>
          <w:sz w:val="24"/>
          <w:szCs w:val="24"/>
        </w:rPr>
        <w:t>KIS</w:t>
      </w:r>
      <w:r w:rsidR="00CD2DEC" w:rsidRPr="00471DAA">
        <w:rPr>
          <w:rFonts w:asciiTheme="majorHAnsi" w:hAnsiTheme="majorHAnsi" w:cs="Times New Roman"/>
          <w:sz w:val="24"/>
          <w:szCs w:val="24"/>
        </w:rPr>
        <w:t xml:space="preserve"> będzie niekorzystna tj. gdy podatek VAT będzie możliwy do odzyskania, przed podpisaniem Umowy o dofinansowanie Wnioskodawca zostanie wezwany do skorygowania budżetu poprzez przesunięcie wartości podatku VAT do kosztów niekwalifikowalnych.</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0E7A2A">
        <w:rPr>
          <w:rFonts w:asciiTheme="majorHAnsi" w:hAnsiTheme="majorHAnsi" w:cs="Times New Roman"/>
          <w:b/>
          <w:bCs/>
          <w:sz w:val="24"/>
          <w:szCs w:val="24"/>
        </w:rPr>
        <w:t xml:space="preserve">5d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rsidR="00017606" w:rsidRDefault="00017606">
      <w:pPr>
        <w:rPr>
          <w:rFonts w:asciiTheme="majorHAnsi" w:hAnsiTheme="majorHAnsi" w:cs="Times New Roman"/>
          <w:color w:val="000000"/>
          <w:sz w:val="24"/>
          <w:szCs w:val="24"/>
        </w:rPr>
      </w:pPr>
      <w:r>
        <w:rPr>
          <w:rFonts w:asciiTheme="majorHAnsi" w:hAnsiTheme="majorHAnsi"/>
        </w:rPr>
        <w:br w:type="page"/>
      </w:r>
    </w:p>
    <w:p w:rsidR="00D40769" w:rsidRDefault="00D40769" w:rsidP="008D2CC3">
      <w:pPr>
        <w:pStyle w:val="Default"/>
        <w:jc w:val="both"/>
        <w:rPr>
          <w:rFonts w:asciiTheme="majorHAnsi" w:hAnsiTheme="majorHAnsi"/>
        </w:rPr>
      </w:pPr>
    </w:p>
    <w:p w:rsidR="00D40769" w:rsidRPr="00FC5FCC" w:rsidRDefault="00D40769" w:rsidP="008A4464">
      <w:pPr>
        <w:pStyle w:val="Nagwek1"/>
        <w:rPr>
          <w:rFonts w:asciiTheme="majorHAnsi" w:hAnsiTheme="majorHAnsi"/>
        </w:rPr>
      </w:pPr>
      <w:r w:rsidRPr="00FC5FCC">
        <w:rPr>
          <w:noProof/>
        </w:rPr>
        <w:drawing>
          <wp:inline distT="0" distB="0" distL="0" distR="0">
            <wp:extent cx="5931673" cy="508883"/>
            <wp:effectExtent l="19050" t="19050" r="50027" b="24517"/>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8D2CC3" w:rsidRPr="00FC5FCC" w:rsidRDefault="008D2CC3" w:rsidP="00FC5FCC">
      <w:pPr>
        <w:pStyle w:val="Bezodstpw"/>
        <w:rPr>
          <w:rFonts w:asciiTheme="majorHAnsi" w:hAnsiTheme="majorHAnsi"/>
        </w:rPr>
      </w:pPr>
    </w:p>
    <w:p w:rsidR="00480CF5" w:rsidRDefault="003C224A">
      <w:pPr>
        <w:spacing w:after="120" w:line="240" w:lineRule="auto"/>
        <w:jc w:val="both"/>
        <w:rPr>
          <w:rFonts w:asciiTheme="majorHAnsi" w:hAnsiTheme="majorHAnsi" w:cs="Times New Roman"/>
          <w:sz w:val="24"/>
          <w:szCs w:val="24"/>
        </w:rPr>
      </w:pPr>
      <w:bookmarkStart w:id="65" w:name="_Toc423074479"/>
      <w:bookmarkEnd w:id="65"/>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p>
    <w:p w:rsidR="001A52AC" w:rsidRDefault="001A52AC" w:rsidP="001640AF">
      <w:pPr>
        <w:spacing w:after="0" w:line="240" w:lineRule="auto"/>
        <w:jc w:val="both"/>
        <w:rPr>
          <w:rFonts w:asciiTheme="majorHAnsi" w:hAnsiTheme="majorHAnsi" w:cs="Times New Roman"/>
          <w:sz w:val="24"/>
          <w:szCs w:val="24"/>
        </w:rPr>
      </w:pPr>
    </w:p>
    <w:p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extent cx="5995670" cy="464315"/>
            <wp:effectExtent l="0" t="0" r="2413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821FD8" w:rsidRDefault="00821FD8" w:rsidP="00FC5FCC">
      <w:pPr>
        <w:spacing w:after="120" w:line="240" w:lineRule="auto"/>
        <w:jc w:val="both"/>
        <w:rPr>
          <w:rFonts w:asciiTheme="majorHAnsi" w:hAnsiTheme="majorHAnsi" w:cs="Times New Roman"/>
          <w:sz w:val="24"/>
          <w:szCs w:val="24"/>
        </w:rPr>
      </w:pPr>
    </w:p>
    <w:p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r w:rsidR="00AB001D">
        <w:rPr>
          <w:rFonts w:asciiTheme="majorHAnsi" w:hAnsiTheme="majorHAnsi" w:cs="Times New Roman"/>
          <w:b/>
          <w:sz w:val="24"/>
          <w:szCs w:val="24"/>
        </w:rPr>
        <w:t xml:space="preserve"> np.</w:t>
      </w:r>
      <w:r w:rsidRPr="00534B31">
        <w:rPr>
          <w:rFonts w:asciiTheme="majorHAnsi" w:hAnsiTheme="majorHAnsi" w:cs="Times New Roman"/>
          <w:b/>
          <w:sz w:val="24"/>
          <w:szCs w:val="24"/>
        </w:rPr>
        <w:t>:</w:t>
      </w:r>
    </w:p>
    <w:p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w:t>
      </w:r>
      <w:r w:rsidR="00CB6271">
        <w:rPr>
          <w:rFonts w:asciiTheme="majorHAnsi" w:hAnsiTheme="majorHAnsi" w:cs="Times New Roman"/>
          <w:sz w:val="24"/>
          <w:szCs w:val="24"/>
        </w:rPr>
        <w:t>ytywnie na grupę defaworyzowaną i uzasadnić sposób odziaływania;</w:t>
      </w:r>
    </w:p>
    <w:p w:rsidR="00452DA2" w:rsidRPr="00452DA2" w:rsidRDefault="00BE31B2" w:rsidP="00452DA2">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 xml:space="preserve">Miejsca realizacji operacji – Wnioskodawca powinien wskazać miejsce realizacji operacji (lokalizacja operacji lub adres prowadzenia działalności gospodarczej) </w:t>
      </w:r>
      <w:r w:rsidRPr="00452DA2">
        <w:rPr>
          <w:rFonts w:asciiTheme="majorHAnsi" w:hAnsiTheme="majorHAnsi" w:cs="Times New Roman"/>
          <w:sz w:val="24"/>
          <w:szCs w:val="24"/>
        </w:rPr>
        <w:t>oraz liczbę mieszkańców miejscowości, w której będzie realizowana operacja;</w:t>
      </w:r>
    </w:p>
    <w:p w:rsidR="00AE7C25" w:rsidRPr="00452DA2" w:rsidRDefault="00AE7C25" w:rsidP="00452DA2">
      <w:pPr>
        <w:pStyle w:val="Akapitzlist"/>
        <w:numPr>
          <w:ilvl w:val="0"/>
          <w:numId w:val="106"/>
        </w:numPr>
        <w:spacing w:after="120" w:line="240" w:lineRule="auto"/>
        <w:ind w:left="1077" w:hanging="357"/>
        <w:jc w:val="both"/>
        <w:rPr>
          <w:rFonts w:asciiTheme="majorHAnsi" w:hAnsiTheme="majorHAnsi" w:cs="Times New Roman"/>
          <w:sz w:val="24"/>
          <w:szCs w:val="24"/>
        </w:rPr>
      </w:pPr>
      <w:r w:rsidRPr="00452DA2">
        <w:rPr>
          <w:rFonts w:asciiTheme="majorHAnsi" w:hAnsiTheme="majorHAnsi"/>
          <w:bCs/>
          <w:sz w:val="24"/>
          <w:szCs w:val="24"/>
        </w:rPr>
        <w:t>Efektywność kosztowa urządzeń</w:t>
      </w:r>
      <w:r w:rsidR="00452DA2">
        <w:rPr>
          <w:rFonts w:asciiTheme="majorHAnsi" w:hAnsiTheme="majorHAnsi"/>
          <w:bCs/>
          <w:sz w:val="24"/>
          <w:szCs w:val="24"/>
        </w:rPr>
        <w:t xml:space="preserve"> – Wnioskodawca powinien wskazać efektywność kosztową urządzeń.</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452DA2">
        <w:rPr>
          <w:rFonts w:asciiTheme="majorHAnsi" w:hAnsiTheme="majorHAnsi" w:cs="Times New Roman"/>
          <w:sz w:val="24"/>
          <w:szCs w:val="24"/>
        </w:rPr>
        <w:t>Wkład własny Wnioskodawcy –</w:t>
      </w:r>
      <w:r w:rsidRPr="003D7B2C">
        <w:rPr>
          <w:rFonts w:asciiTheme="majorHAnsi" w:hAnsiTheme="majorHAnsi" w:cs="Times New Roman"/>
          <w:sz w:val="24"/>
          <w:szCs w:val="24"/>
        </w:rPr>
        <w:t xml:space="preserve"> Wnioskodawca powinien wykazać wkład własny finansowy w realizowaną operację wraz z wyliczeniami punktów procentowych;</w:t>
      </w:r>
    </w:p>
    <w:p w:rsidR="00BE31B2"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rsidR="00CB6271" w:rsidRPr="00CB6271" w:rsidRDefault="00CB6271" w:rsidP="00CB6271">
      <w:pPr>
        <w:spacing w:after="120" w:line="240" w:lineRule="auto"/>
        <w:ind w:left="720"/>
        <w:jc w:val="both"/>
        <w:rPr>
          <w:rFonts w:asciiTheme="majorHAnsi" w:hAnsiTheme="majorHAnsi" w:cs="Times New Roman"/>
          <w:sz w:val="24"/>
          <w:szCs w:val="24"/>
        </w:rPr>
      </w:pPr>
      <w:r w:rsidRPr="00486CB3">
        <w:rPr>
          <w:rFonts w:asciiTheme="majorHAnsi" w:hAnsiTheme="majorHAnsi" w:cs="Times New Roman"/>
          <w:b/>
          <w:sz w:val="24"/>
          <w:szCs w:val="24"/>
        </w:rPr>
        <w:lastRenderedPageBreak/>
        <w:t>- informacje u</w:t>
      </w:r>
      <w:r w:rsidR="005773F2" w:rsidRPr="00486CB3">
        <w:rPr>
          <w:rFonts w:asciiTheme="majorHAnsi" w:hAnsiTheme="majorHAnsi" w:cs="Times New Roman"/>
          <w:b/>
          <w:sz w:val="24"/>
          <w:szCs w:val="24"/>
        </w:rPr>
        <w:t xml:space="preserve">względniające spełnienie </w:t>
      </w:r>
      <w:r w:rsidR="00486CB3" w:rsidRPr="00486CB3">
        <w:rPr>
          <w:rFonts w:asciiTheme="majorHAnsi" w:hAnsiTheme="majorHAnsi" w:cs="Times New Roman"/>
          <w:b/>
          <w:sz w:val="24"/>
          <w:szCs w:val="24"/>
        </w:rPr>
        <w:t>zgodności operacji z Lokalną Strategią Rozwoju Stowarzyszenia Lokalna Grupa Działania „Brama na Podlasie”</w:t>
      </w:r>
      <w:r w:rsidR="00486CB3">
        <w:rPr>
          <w:rFonts w:asciiTheme="majorHAnsi" w:hAnsiTheme="majorHAnsi" w:cs="Times New Roman"/>
          <w:sz w:val="24"/>
          <w:szCs w:val="24"/>
        </w:rPr>
        <w:t xml:space="preserve"> – z podaniem uzasadnienia i odniesieniem się do konkretnego celu ogólnego, szczegółowego i przedsięwzięcia. </w:t>
      </w:r>
    </w:p>
    <w:p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t>Ponadto Wnioskodawca może przedstawić inne dodatkowe załączniki, które uwiarygodnią uzasadnienia do kryteriów i danych zawartych we wniosku.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w:t>
      </w:r>
      <w:proofErr w:type="spellStart"/>
      <w:r w:rsidRPr="00BE31B2">
        <w:rPr>
          <w:rFonts w:asciiTheme="majorHAnsi" w:hAnsiTheme="majorHAnsi" w:cs="Times New Roman"/>
          <w:sz w:val="24"/>
          <w:szCs w:val="24"/>
        </w:rPr>
        <w:t>itp</w:t>
      </w:r>
      <w:proofErr w:type="spellEnd"/>
      <w:r w:rsidRPr="00BE31B2">
        <w:rPr>
          <w:rFonts w:asciiTheme="majorHAnsi" w:hAnsiTheme="majorHAnsi" w:cs="Times New Roman"/>
          <w:sz w:val="24"/>
          <w:szCs w:val="24"/>
        </w:rPr>
        <w:t>).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xml:space="preserve">.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w:t>
      </w:r>
      <w:r w:rsidR="00DD59B0" w:rsidRPr="00DD59B0">
        <w:rPr>
          <w:rFonts w:asciiTheme="majorHAnsi" w:hAnsiTheme="majorHAnsi" w:cs="Times New Roman"/>
          <w:sz w:val="24"/>
          <w:szCs w:val="24"/>
        </w:rPr>
        <w:lastRenderedPageBreak/>
        <w:t>stanowiska zaprezentowanego w dokumentacji aplikacyjnej, IZ RPOWP uzna podatek VAT za niekwalifikowany.</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W sytuacji, gdy indywidualna interpretacja nie została dostarczona na etapie aplikowania, podstawą oceny będzie deklaracja Wnioskodawcy w przedmiotowym zakresie.</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Źródłowym przepisem w zakresie pomocy publicznej </w:t>
      </w:r>
      <w:r w:rsidR="00104D78">
        <w:rPr>
          <w:rFonts w:asciiTheme="majorHAnsi" w:hAnsiTheme="majorHAnsi" w:cs="Times New Roman"/>
          <w:sz w:val="24"/>
          <w:szCs w:val="24"/>
        </w:rPr>
        <w:t>jest art. 107 ust. 1 Traktatu o </w:t>
      </w:r>
      <w:r w:rsidRPr="00521362">
        <w:rPr>
          <w:rFonts w:asciiTheme="majorHAnsi" w:hAnsiTheme="majorHAnsi" w:cs="Times New Roman"/>
          <w:sz w:val="24"/>
          <w:szCs w:val="24"/>
        </w:rPr>
        <w:t>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lastRenderedPageBreak/>
        <w:t>selektywność tzn. uprzywilejowanie określonych podmiotów lub wytwarzanie określonych dóbr,</w:t>
      </w:r>
    </w:p>
    <w:p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w:t>
      </w:r>
      <w:r w:rsidR="006A63C4">
        <w:rPr>
          <w:rFonts w:asciiTheme="majorHAnsi" w:hAnsiTheme="majorHAnsi" w:cs="Times New Roman"/>
          <w:sz w:val="24"/>
          <w:szCs w:val="24"/>
        </w:rPr>
        <w:t> </w:t>
      </w:r>
      <w:r w:rsidRPr="00521362">
        <w:rPr>
          <w:rFonts w:asciiTheme="majorHAnsi" w:hAnsiTheme="majorHAnsi" w:cs="Times New Roman"/>
          <w:sz w:val="24"/>
          <w:szCs w:val="24"/>
        </w:rPr>
        <w:t>dnia 19 marca 2015 r. w sprawie udzielania pomocy de minimis w ramach regionalnych programów operacyjnych na lata 2014-2020 (Dz.U z 2015 r., poz. 488).</w:t>
      </w:r>
    </w:p>
    <w:p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t>Ustalając zakres Analizy Wykonalności Projektu należy pamiętać, że informacje zawarte we wniosku o dofinansowanie i w załącznikach, muszą umożliwiać ocenę projektu w ramach wszystkich kryteriów obowiązujących dla danego typu projektów.</w:t>
      </w:r>
    </w:p>
    <w:p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rsidR="00416D82" w:rsidRPr="000F7D81" w:rsidRDefault="00416D82" w:rsidP="00416D82">
      <w:pPr>
        <w:pStyle w:val="Akapitzlist"/>
        <w:spacing w:after="120" w:line="240" w:lineRule="auto"/>
        <w:jc w:val="both"/>
        <w:rPr>
          <w:rFonts w:asciiTheme="majorHAnsi" w:hAnsiTheme="majorHAnsi" w:cs="Times New Roman"/>
          <w:sz w:val="24"/>
          <w:szCs w:val="24"/>
        </w:rPr>
      </w:pPr>
    </w:p>
    <w:p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rsidR="000F7D81" w:rsidRPr="000F7D81" w:rsidRDefault="00FA4217"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 Brama na Podlasie”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w:t>
      </w:r>
      <w:r w:rsidR="006A63C4">
        <w:rPr>
          <w:rFonts w:asciiTheme="majorHAnsi" w:hAnsiTheme="majorHAnsi" w:cs="Times New Roman"/>
          <w:sz w:val="24"/>
          <w:szCs w:val="24"/>
        </w:rPr>
        <w:t> </w:t>
      </w:r>
      <w:r w:rsidR="000F7D81" w:rsidRPr="000F7D81">
        <w:rPr>
          <w:rFonts w:asciiTheme="majorHAnsi" w:hAnsiTheme="majorHAnsi" w:cs="Times New Roman"/>
          <w:sz w:val="24"/>
          <w:szCs w:val="24"/>
        </w:rPr>
        <w:t>jednoznaczne, najlepiej poparte danymi liczbowymi.</w:t>
      </w:r>
    </w:p>
    <w:p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rsidR="00345228" w:rsidRPr="00521362" w:rsidRDefault="00345228" w:rsidP="00345228">
      <w:pPr>
        <w:spacing w:after="0" w:line="240" w:lineRule="auto"/>
        <w:jc w:val="both"/>
        <w:rPr>
          <w:rFonts w:asciiTheme="majorHAnsi" w:hAnsiTheme="majorHAnsi" w:cs="Times New Roman"/>
          <w:sz w:val="24"/>
          <w:szCs w:val="24"/>
        </w:rPr>
      </w:pPr>
    </w:p>
    <w:p w:rsidR="00345228" w:rsidRDefault="00345228" w:rsidP="00345228">
      <w:pPr>
        <w:pStyle w:val="Nagwek2"/>
        <w:spacing w:before="0"/>
      </w:pPr>
      <w:r>
        <w:rPr>
          <w:noProof/>
        </w:rPr>
        <w:drawing>
          <wp:inline distT="0" distB="0" distL="0" distR="0">
            <wp:extent cx="5895975" cy="400050"/>
            <wp:effectExtent l="19050" t="0" r="285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345228" w:rsidRDefault="00345228" w:rsidP="00345228">
      <w:pPr>
        <w:spacing w:after="120" w:line="240" w:lineRule="auto"/>
        <w:jc w:val="both"/>
        <w:rPr>
          <w:rFonts w:asciiTheme="majorHAnsi" w:hAnsiTheme="majorHAnsi" w:cs="Times New Roman"/>
          <w:sz w:val="24"/>
          <w:szCs w:val="24"/>
          <w:u w:val="single"/>
        </w:rPr>
      </w:pPr>
      <w:bookmarkStart w:id="66" w:name="_Toc423074480"/>
      <w:bookmarkStart w:id="67" w:name="_Toc423074481"/>
      <w:bookmarkStart w:id="68" w:name="_Toc423074482"/>
      <w:bookmarkStart w:id="69" w:name="_Toc298150504"/>
      <w:bookmarkStart w:id="70" w:name="_Toc298150535"/>
      <w:bookmarkStart w:id="71" w:name="_Toc298150848"/>
      <w:bookmarkStart w:id="72" w:name="_Toc298150970"/>
      <w:bookmarkStart w:id="73" w:name="_Toc298151018"/>
      <w:bookmarkStart w:id="74" w:name="_Toc298150505"/>
      <w:bookmarkStart w:id="75" w:name="_Toc298150536"/>
      <w:bookmarkStart w:id="76" w:name="_Toc298150849"/>
      <w:bookmarkStart w:id="77" w:name="_Toc298150971"/>
      <w:bookmarkStart w:id="78" w:name="_Toc298151019"/>
      <w:bookmarkStart w:id="79" w:name="_Toc298150506"/>
      <w:bookmarkStart w:id="80" w:name="_Toc298150537"/>
      <w:bookmarkStart w:id="81" w:name="_Toc298150850"/>
      <w:bookmarkStart w:id="82" w:name="_Toc298150972"/>
      <w:bookmarkStart w:id="83" w:name="_Toc298151020"/>
      <w:bookmarkStart w:id="84" w:name="_Toc298150507"/>
      <w:bookmarkStart w:id="85" w:name="_Toc298150538"/>
      <w:bookmarkStart w:id="86" w:name="_Toc298150851"/>
      <w:bookmarkStart w:id="87" w:name="_Toc298150973"/>
      <w:bookmarkStart w:id="88" w:name="_Toc298151021"/>
      <w:bookmarkStart w:id="89" w:name="_Toc298150508"/>
      <w:bookmarkStart w:id="90" w:name="_Toc298150539"/>
      <w:bookmarkStart w:id="91" w:name="_Toc298150852"/>
      <w:bookmarkStart w:id="92" w:name="_Toc298150974"/>
      <w:bookmarkStart w:id="93" w:name="_Toc298151022"/>
      <w:bookmarkStart w:id="94" w:name="_Toc298150509"/>
      <w:bookmarkStart w:id="95" w:name="_Toc298150540"/>
      <w:bookmarkStart w:id="96" w:name="_Toc298150853"/>
      <w:bookmarkStart w:id="97" w:name="_Toc298150975"/>
      <w:bookmarkStart w:id="98" w:name="_Toc298151023"/>
      <w:bookmarkStart w:id="99" w:name="_Toc298150510"/>
      <w:bookmarkStart w:id="100" w:name="_Toc298150541"/>
      <w:bookmarkStart w:id="101" w:name="_Toc298150854"/>
      <w:bookmarkStart w:id="102" w:name="_Toc298150976"/>
      <w:bookmarkStart w:id="103" w:name="_Toc298151024"/>
      <w:bookmarkStart w:id="104" w:name="_Toc298150511"/>
      <w:bookmarkStart w:id="105" w:name="_Toc298150542"/>
      <w:bookmarkStart w:id="106" w:name="_Toc298150855"/>
      <w:bookmarkStart w:id="107" w:name="_Toc298150977"/>
      <w:bookmarkStart w:id="108" w:name="_Toc298151025"/>
      <w:bookmarkStart w:id="109" w:name="_Toc298150512"/>
      <w:bookmarkStart w:id="110" w:name="_Toc298150543"/>
      <w:bookmarkStart w:id="111" w:name="_Toc298150856"/>
      <w:bookmarkStart w:id="112" w:name="_Toc298150978"/>
      <w:bookmarkStart w:id="113" w:name="_Toc298151026"/>
      <w:bookmarkStart w:id="114" w:name="_Toc289961745"/>
      <w:bookmarkStart w:id="115" w:name="_Toc28996174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późn. zm.</w:t>
      </w:r>
      <w:r w:rsidRPr="008D568E">
        <w:rPr>
          <w:rFonts w:asciiTheme="majorHAnsi" w:hAnsiTheme="majorHAnsi" w:cs="Times New Roman"/>
          <w:sz w:val="24"/>
          <w:szCs w:val="24"/>
        </w:rPr>
        <w:t>) do sporządzania bilansu należy dołączyć kopię bilansu, rachunku zysków i</w:t>
      </w:r>
      <w:r w:rsidR="006A63C4">
        <w:rPr>
          <w:rFonts w:asciiTheme="majorHAnsi" w:hAnsiTheme="majorHAnsi" w:cs="Times New Roman"/>
          <w:sz w:val="24"/>
          <w:szCs w:val="24"/>
        </w:rPr>
        <w:t> </w:t>
      </w:r>
      <w:r w:rsidRPr="008D568E">
        <w:rPr>
          <w:rFonts w:asciiTheme="majorHAnsi" w:hAnsiTheme="majorHAnsi" w:cs="Times New Roman"/>
          <w:sz w:val="24"/>
          <w:szCs w:val="24"/>
        </w:rPr>
        <w:t>strat (</w:t>
      </w:r>
      <w:proofErr w:type="spellStart"/>
      <w:r w:rsidRPr="008D568E">
        <w:rPr>
          <w:rFonts w:asciiTheme="majorHAnsi" w:hAnsiTheme="majorHAnsi" w:cs="Times New Roman"/>
          <w:sz w:val="24"/>
          <w:szCs w:val="24"/>
        </w:rPr>
        <w:t>rzis</w:t>
      </w:r>
      <w:proofErr w:type="spellEnd"/>
      <w:r w:rsidRPr="008D568E">
        <w:rPr>
          <w:rFonts w:asciiTheme="majorHAnsi" w:hAnsiTheme="majorHAnsi" w:cs="Times New Roman"/>
          <w:sz w:val="24"/>
          <w:szCs w:val="24"/>
        </w:rPr>
        <w:t xml:space="preserve"> nie dotyczy jednostek samorządu terytorialnego), podpisane przez osobę, której powierzono prowadzenie ksiąg rachunkowych oraz kierownika jednostki (tj. kopie z</w:t>
      </w:r>
      <w:r w:rsidR="006A63C4">
        <w:rPr>
          <w:rFonts w:asciiTheme="majorHAnsi" w:hAnsiTheme="majorHAnsi" w:cs="Times New Roman"/>
          <w:sz w:val="24"/>
          <w:szCs w:val="24"/>
        </w:rPr>
        <w:t> </w:t>
      </w:r>
      <w:r w:rsidRPr="008D568E">
        <w:rPr>
          <w:rFonts w:asciiTheme="majorHAnsi" w:hAnsiTheme="majorHAnsi" w:cs="Times New Roman"/>
          <w:sz w:val="24"/>
          <w:szCs w:val="24"/>
        </w:rPr>
        <w:t>widocznymi podpisami, potwierdzone „za zgodność z oryginałem”).</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okres 2</w:t>
      </w:r>
      <w:r w:rsidR="006A63C4">
        <w:rPr>
          <w:rFonts w:asciiTheme="majorHAnsi" w:hAnsiTheme="majorHAnsi" w:cs="Times New Roman"/>
          <w:sz w:val="24"/>
          <w:szCs w:val="24"/>
        </w:rPr>
        <w:t>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AB001D" w:rsidRDefault="00AB001D" w:rsidP="00345228">
      <w:pPr>
        <w:spacing w:after="120" w:line="240" w:lineRule="auto"/>
        <w:jc w:val="both"/>
        <w:rPr>
          <w:rFonts w:asciiTheme="majorHAnsi" w:hAnsiTheme="majorHAnsi" w:cs="Times New Roman"/>
          <w:sz w:val="24"/>
          <w:szCs w:val="24"/>
        </w:rPr>
      </w:pPr>
      <w:r w:rsidRPr="00AB001D">
        <w:rPr>
          <w:rFonts w:asciiTheme="majorHAnsi" w:hAnsiTheme="majorHAnsi" w:cs="Times New Roman"/>
          <w:sz w:val="24"/>
          <w:szCs w:val="24"/>
        </w:rPr>
        <w:t>W pozostałych przypadkach wnioskodawca zobowiązany jest przedłożyć dokumenty finansowe, zgodne z obowiązującą w tym zakresie wewnętrzną polityką jednostki, za okres 2</w:t>
      </w:r>
      <w:r w:rsidR="006A63C4">
        <w:rPr>
          <w:rFonts w:asciiTheme="majorHAnsi" w:hAnsiTheme="majorHAnsi" w:cs="Times New Roman"/>
          <w:sz w:val="24"/>
          <w:szCs w:val="24"/>
        </w:rPr>
        <w:t> </w:t>
      </w:r>
      <w:r w:rsidRPr="00AB001D">
        <w:rPr>
          <w:rFonts w:asciiTheme="majorHAnsi" w:hAnsiTheme="majorHAnsi" w:cs="Times New Roman"/>
          <w:sz w:val="24"/>
          <w:szCs w:val="24"/>
        </w:rPr>
        <w:t>ostatnich lat obrotowych poprzedzających rok złożenia wniosku o dofinansowanie.</w:t>
      </w:r>
    </w:p>
    <w:p w:rsidR="008A2357" w:rsidRPr="008D568E" w:rsidRDefault="008A2357" w:rsidP="008A2357">
      <w:pPr>
        <w:spacing w:after="0" w:line="240" w:lineRule="auto"/>
        <w:jc w:val="both"/>
        <w:rPr>
          <w:rFonts w:asciiTheme="majorHAnsi" w:hAnsiTheme="majorHAnsi" w:cs="Times New Roman"/>
          <w:sz w:val="24"/>
          <w:szCs w:val="24"/>
        </w:rPr>
      </w:pPr>
    </w:p>
    <w:p w:rsidR="008A2357" w:rsidRPr="008F00D0" w:rsidRDefault="008A2357" w:rsidP="008A2357">
      <w:pPr>
        <w:pStyle w:val="Nagwek2"/>
        <w:spacing w:before="0"/>
      </w:pPr>
      <w:r>
        <w:rPr>
          <w:noProof/>
        </w:rPr>
        <w:drawing>
          <wp:inline distT="0" distB="0" distL="0" distR="0">
            <wp:extent cx="6026785" cy="466725"/>
            <wp:effectExtent l="0" t="0" r="1206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8A2357" w:rsidRDefault="008A2357" w:rsidP="008A2357">
      <w:pPr>
        <w:spacing w:after="120" w:line="240" w:lineRule="auto"/>
        <w:jc w:val="both"/>
        <w:rPr>
          <w:rFonts w:asciiTheme="majorHAnsi" w:hAnsiTheme="majorHAnsi" w:cs="Times New Roman"/>
          <w:sz w:val="24"/>
          <w:szCs w:val="24"/>
        </w:rPr>
      </w:pPr>
    </w:p>
    <w:p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lastRenderedPageBreak/>
        <w:t>Wnioskodawca w pkt I.2 wniosku o dofinansowanie wybierze opcję TAK i w pkt II.3 wniosku wykaże podmiot/-y, który/-e będzie/-ą realizowały projekt w formie partnerstwa i/lub z udziałem podmiotów realizujących;</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w:t>
      </w:r>
      <w:r w:rsidR="006A63C4">
        <w:rPr>
          <w:rFonts w:asciiTheme="majorHAnsi" w:hAnsiTheme="majorHAnsi" w:cs="Times New Roman"/>
          <w:i/>
          <w:sz w:val="24"/>
          <w:szCs w:val="24"/>
        </w:rPr>
        <w:t> </w:t>
      </w:r>
      <w:r w:rsidRPr="00FC5FCC">
        <w:rPr>
          <w:rFonts w:asciiTheme="majorHAnsi" w:hAnsiTheme="majorHAnsi" w:cs="Times New Roman"/>
          <w:i/>
          <w:sz w:val="24"/>
          <w:szCs w:val="24"/>
        </w:rPr>
        <w:t>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rsidR="003E1D03" w:rsidRDefault="003E1D03" w:rsidP="008A2357">
      <w:pPr>
        <w:spacing w:after="120" w:line="240" w:lineRule="auto"/>
        <w:jc w:val="both"/>
        <w:rPr>
          <w:rFonts w:asciiTheme="majorHAnsi" w:hAnsiTheme="majorHAnsi" w:cs="Times New Roman"/>
          <w:sz w:val="24"/>
          <w:szCs w:val="24"/>
        </w:rPr>
      </w:pPr>
      <w:r>
        <w:rPr>
          <w:noProof/>
        </w:rPr>
        <w:drawing>
          <wp:inline distT="0" distB="0" distL="0" distR="0">
            <wp:extent cx="5972810" cy="462280"/>
            <wp:effectExtent l="0" t="0" r="2794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3E1D03" w:rsidRDefault="003E1D03" w:rsidP="008A2357">
      <w:pPr>
        <w:spacing w:after="120" w:line="240" w:lineRule="auto"/>
        <w:jc w:val="both"/>
        <w:rPr>
          <w:rFonts w:asciiTheme="majorHAnsi" w:hAnsiTheme="majorHAnsi" w:cs="Times New Roman"/>
          <w:sz w:val="24"/>
          <w:szCs w:val="24"/>
        </w:rPr>
      </w:pPr>
    </w:p>
    <w:p w:rsidR="003E1D03" w:rsidRDefault="003E1D03" w:rsidP="008A2357">
      <w:pPr>
        <w:spacing w:after="120" w:line="240" w:lineRule="auto"/>
        <w:jc w:val="both"/>
        <w:rPr>
          <w:rFonts w:asciiTheme="majorHAnsi" w:hAnsiTheme="majorHAnsi" w:cs="Times New Roman"/>
          <w:sz w:val="24"/>
          <w:szCs w:val="24"/>
        </w:rPr>
      </w:pPr>
      <w:r w:rsidRPr="003E1D03">
        <w:rPr>
          <w:rFonts w:asciiTheme="majorHAnsi" w:hAnsiTheme="majorHAnsi" w:cs="Times New Roman"/>
          <w:sz w:val="24"/>
          <w:szCs w:val="24"/>
        </w:rPr>
        <w:t xml:space="preserve">Wnioskodawca przed podpisaniem umowy o dofinansowanie projektu </w:t>
      </w:r>
      <w:r>
        <w:rPr>
          <w:rFonts w:asciiTheme="majorHAnsi" w:hAnsiTheme="majorHAnsi" w:cs="Times New Roman"/>
          <w:sz w:val="24"/>
          <w:szCs w:val="24"/>
        </w:rPr>
        <w:t>jest</w:t>
      </w:r>
      <w:r w:rsidRPr="003E1D03">
        <w:rPr>
          <w:rFonts w:asciiTheme="majorHAnsi" w:hAnsiTheme="majorHAnsi" w:cs="Times New Roman"/>
          <w:sz w:val="24"/>
          <w:szCs w:val="24"/>
        </w:rPr>
        <w:t xml:space="preserve"> zobowiązany złożyć oświadczenie, iż nie zalega z informacją wobec rejestrów prowadzonych w Generalnej Dyrekcji Ochrony Środowiska (GDOŚ)</w:t>
      </w:r>
      <w:r>
        <w:rPr>
          <w:rFonts w:asciiTheme="majorHAnsi" w:hAnsiTheme="majorHAnsi" w:cs="Times New Roman"/>
          <w:sz w:val="24"/>
          <w:szCs w:val="24"/>
        </w:rPr>
        <w:t xml:space="preserve">; załącznik nr 5g </w:t>
      </w:r>
      <w:r w:rsidR="00B0495B">
        <w:rPr>
          <w:rFonts w:asciiTheme="majorHAnsi" w:hAnsiTheme="majorHAnsi" w:cs="Times New Roman"/>
          <w:sz w:val="24"/>
          <w:szCs w:val="24"/>
        </w:rPr>
        <w:t>do ogłoszenia</w:t>
      </w:r>
      <w:r>
        <w:rPr>
          <w:rFonts w:asciiTheme="majorHAnsi" w:hAnsiTheme="majorHAnsi" w:cs="Times New Roman"/>
          <w:sz w:val="24"/>
          <w:szCs w:val="24"/>
        </w:rPr>
        <w:t>.</w:t>
      </w:r>
    </w:p>
    <w:p w:rsidR="00572FED" w:rsidRDefault="00572FED"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Pr>
          <w:noProof/>
        </w:rPr>
        <w:drawing>
          <wp:inline distT="0" distB="0" distL="0" distR="0">
            <wp:extent cx="5972810" cy="462280"/>
            <wp:effectExtent l="0" t="0" r="2794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sidRPr="007D4114">
        <w:rPr>
          <w:rFonts w:asciiTheme="majorHAnsi" w:hAnsiTheme="majorHAnsi" w:cs="Times New Roman"/>
          <w:sz w:val="24"/>
          <w:szCs w:val="24"/>
        </w:rPr>
        <w:t>Załącznik jest obligatoryjny z uwagi na konieczność zachowania demarkacji pomiędzy działaniami/poddziałaniami w osiach głównych, a Działaniem 8.6. Warunkiem zakwalifikowania projektu jest złożenie przez Wnioskodawcę oświadczenia o nieubieganiu się o dofinansowanie w ramach projektów realizowanych w osiach głównych, zarówno na etapie wnioskowania (w przypadku konkursów, które już trwają), jak i podpisywania umowy (w przypadku projektów wybranych do dofinansowania) – dotyczy projektów o takim samym zak</w:t>
      </w:r>
      <w:r w:rsidR="0018033F">
        <w:rPr>
          <w:rFonts w:asciiTheme="majorHAnsi" w:hAnsiTheme="majorHAnsi" w:cs="Times New Roman"/>
          <w:sz w:val="24"/>
          <w:szCs w:val="24"/>
        </w:rPr>
        <w:t>resie rzeczowym. – Załącznik nr 5i do ogłoszenia</w:t>
      </w:r>
      <w:r w:rsidRPr="007D4114">
        <w:rPr>
          <w:rFonts w:asciiTheme="majorHAnsi" w:hAnsiTheme="majorHAnsi" w:cs="Times New Roman"/>
          <w:sz w:val="24"/>
          <w:szCs w:val="24"/>
        </w:rPr>
        <w:t>.</w:t>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19050" t="0" r="28575"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FA4217">
        <w:rPr>
          <w:rFonts w:asciiTheme="majorHAnsi" w:hAnsiTheme="majorHAnsi" w:cs="Times New Roman"/>
          <w:sz w:val="24"/>
          <w:szCs w:val="24"/>
        </w:rPr>
        <w:t xml:space="preserve">5e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rsidR="00BB362B" w:rsidRDefault="00BB362B"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lastRenderedPageBreak/>
        <w:drawing>
          <wp:inline distT="0" distB="0" distL="0" distR="0">
            <wp:extent cx="5915025" cy="552450"/>
            <wp:effectExtent l="19050" t="0" r="4762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r w:rsidR="007D3BF4">
        <w:rPr>
          <w:rFonts w:asciiTheme="majorHAnsi" w:hAnsiTheme="majorHAnsi" w:cstheme="majorBidi"/>
          <w:bCs/>
          <w:i/>
          <w:color w:val="000000"/>
          <w:sz w:val="24"/>
          <w:szCs w:val="24"/>
        </w:rPr>
        <w:t xml:space="preserve">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w:t>
      </w:r>
      <w:r w:rsidR="00FA4217">
        <w:rPr>
          <w:rFonts w:asciiTheme="majorHAnsi" w:hAnsiTheme="majorHAnsi" w:cs="Times New Roman"/>
          <w:sz w:val="24"/>
          <w:szCs w:val="24"/>
        </w:rPr>
        <w:t xml:space="preserve"> 5f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rsidR="00C006DC" w:rsidRDefault="00C006DC" w:rsidP="00FA46D9">
      <w:pPr>
        <w:spacing w:after="0" w:line="240" w:lineRule="auto"/>
        <w:jc w:val="both"/>
        <w:rPr>
          <w:rFonts w:asciiTheme="majorHAnsi" w:hAnsiTheme="majorHAnsi" w:cs="Times New Roman"/>
          <w:sz w:val="24"/>
          <w:szCs w:val="24"/>
        </w:rPr>
      </w:pPr>
    </w:p>
    <w:p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2857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rsidR="001640AF" w:rsidRPr="00BB362B" w:rsidRDefault="001640AF" w:rsidP="001640AF">
      <w:pPr>
        <w:spacing w:after="120" w:line="240" w:lineRule="auto"/>
        <w:jc w:val="both"/>
        <w:rPr>
          <w:rFonts w:asciiTheme="majorHAnsi" w:hAnsiTheme="majorHAnsi" w:cstheme="majorBidi"/>
          <w:b/>
          <w:bCs/>
          <w:sz w:val="24"/>
          <w:szCs w:val="24"/>
        </w:rPr>
      </w:pPr>
    </w:p>
    <w:p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w:t>
      </w:r>
      <w:r w:rsidR="006A63C4">
        <w:rPr>
          <w:rFonts w:asciiTheme="majorHAnsi" w:hAnsiTheme="majorHAnsi" w:cs="Times New Roman"/>
          <w:sz w:val="24"/>
          <w:szCs w:val="24"/>
        </w:rPr>
        <w:t> </w:t>
      </w:r>
      <w:r w:rsidRPr="0056164A">
        <w:rPr>
          <w:rFonts w:asciiTheme="majorHAnsi" w:hAnsiTheme="majorHAnsi" w:cs="Times New Roman"/>
          <w:sz w:val="24"/>
          <w:szCs w:val="24"/>
        </w:rPr>
        <w:t>dofinansowanie wartość uzyskanej pomocy.</w:t>
      </w:r>
    </w:p>
    <w:p w:rsidR="00C86330" w:rsidRDefault="00C86330" w:rsidP="004832C0">
      <w:pPr>
        <w:spacing w:after="120" w:line="240" w:lineRule="auto"/>
        <w:jc w:val="both"/>
        <w:rPr>
          <w:rFonts w:asciiTheme="majorHAnsi" w:hAnsiTheme="majorHAnsi" w:cs="Times New Roman"/>
          <w:sz w:val="24"/>
          <w:szCs w:val="24"/>
        </w:rPr>
      </w:pPr>
    </w:p>
    <w:p w:rsidR="004C2523" w:rsidRDefault="004C2523" w:rsidP="004C2523">
      <w:pPr>
        <w:pStyle w:val="Nagwek2"/>
        <w:spacing w:before="0"/>
      </w:pPr>
      <w:r>
        <w:rPr>
          <w:noProof/>
        </w:rPr>
        <w:drawing>
          <wp:inline distT="0" distB="0" distL="0" distR="0">
            <wp:extent cx="5895975" cy="400050"/>
            <wp:effectExtent l="19050" t="0" r="2857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rsidR="00693E03" w:rsidRPr="00FC5FCC" w:rsidRDefault="00693E03" w:rsidP="00FC5FCC">
      <w:pPr>
        <w:pStyle w:val="Bezodstpw"/>
        <w:rPr>
          <w:rFonts w:asciiTheme="majorHAnsi" w:hAnsiTheme="majorHAnsi"/>
        </w:rPr>
      </w:pPr>
    </w:p>
    <w:p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rsidR="002B058B" w:rsidRPr="00FC5FCC" w:rsidRDefault="002B058B" w:rsidP="00FC5FCC">
      <w:pPr>
        <w:pStyle w:val="Bezodstpw"/>
        <w:rPr>
          <w:rFonts w:asciiTheme="majorHAnsi" w:hAnsiTheme="majorHAnsi"/>
        </w:rPr>
      </w:pPr>
    </w:p>
    <w:p w:rsidR="00A42C5E" w:rsidRDefault="00A42C5E" w:rsidP="00FC5FCC">
      <w:pPr>
        <w:spacing w:after="120" w:line="240" w:lineRule="auto"/>
        <w:jc w:val="both"/>
        <w:rPr>
          <w:rFonts w:asciiTheme="majorHAnsi" w:hAnsiTheme="majorHAnsi" w:cs="Times New Roman"/>
          <w:b/>
          <w:sz w:val="24"/>
          <w:szCs w:val="24"/>
        </w:rPr>
      </w:pPr>
    </w:p>
    <w:p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353162">
        <w:rPr>
          <w:rFonts w:asciiTheme="majorHAnsi" w:hAnsiTheme="majorHAnsi" w:cs="Times New Roman"/>
          <w:i/>
          <w:iCs/>
          <w:sz w:val="24"/>
          <w:szCs w:val="24"/>
        </w:rPr>
        <w:t>(zał. nr 10 do ogłoszenia)</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6" w:name="_Toc330807259"/>
      <w:bookmarkStart w:id="117" w:name="_Toc330807287"/>
      <w:bookmarkStart w:id="118" w:name="_Toc330879756"/>
      <w:bookmarkStart w:id="119" w:name="_Toc330807260"/>
      <w:bookmarkStart w:id="120" w:name="_Toc330807288"/>
      <w:bookmarkStart w:id="121" w:name="_Toc330879757"/>
      <w:bookmarkStart w:id="122" w:name="_Toc330807261"/>
      <w:bookmarkStart w:id="123" w:name="_Toc330807289"/>
      <w:bookmarkStart w:id="124" w:name="_Toc330879758"/>
      <w:bookmarkEnd w:id="116"/>
      <w:bookmarkEnd w:id="117"/>
      <w:bookmarkEnd w:id="118"/>
      <w:bookmarkEnd w:id="119"/>
      <w:bookmarkEnd w:id="120"/>
      <w:bookmarkEnd w:id="121"/>
      <w:bookmarkEnd w:id="122"/>
      <w:bookmarkEnd w:id="123"/>
      <w:bookmarkEnd w:id="124"/>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F0C" w:rsidRDefault="00336F0C" w:rsidP="00851196">
      <w:pPr>
        <w:spacing w:after="0" w:line="240" w:lineRule="auto"/>
      </w:pPr>
      <w:r>
        <w:separator/>
      </w:r>
    </w:p>
  </w:endnote>
  <w:endnote w:type="continuationSeparator" w:id="0">
    <w:p w:rsidR="00336F0C" w:rsidRDefault="00336F0C" w:rsidP="00851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202006"/>
      <w:docPartObj>
        <w:docPartGallery w:val="Page Numbers (Bottom of Page)"/>
        <w:docPartUnique/>
      </w:docPartObj>
    </w:sdtPr>
    <w:sdtEndPr>
      <w:rPr>
        <w:rFonts w:asciiTheme="majorBidi" w:hAnsiTheme="majorBidi" w:cstheme="majorBidi"/>
      </w:rPr>
    </w:sdtEndPr>
    <w:sdtContent>
      <w:p w:rsidR="00F46DCF" w:rsidRPr="008F4A62" w:rsidRDefault="00BC2768">
        <w:pPr>
          <w:pStyle w:val="Stopka"/>
          <w:jc w:val="center"/>
          <w:rPr>
            <w:rFonts w:asciiTheme="majorBidi" w:hAnsiTheme="majorBidi" w:cstheme="majorBidi"/>
          </w:rPr>
        </w:pPr>
        <w:r w:rsidRPr="008F4A62">
          <w:rPr>
            <w:rFonts w:asciiTheme="majorBidi" w:hAnsiTheme="majorBidi" w:cstheme="majorBidi"/>
          </w:rPr>
          <w:fldChar w:fldCharType="begin"/>
        </w:r>
        <w:r w:rsidR="00F46DCF" w:rsidRPr="008F4A62">
          <w:rPr>
            <w:rFonts w:asciiTheme="majorBidi" w:hAnsiTheme="majorBidi" w:cstheme="majorBidi"/>
          </w:rPr>
          <w:instrText>PAGE   \* MERGEFORMAT</w:instrText>
        </w:r>
        <w:r w:rsidRPr="008F4A62">
          <w:rPr>
            <w:rFonts w:asciiTheme="majorBidi" w:hAnsiTheme="majorBidi" w:cstheme="majorBidi"/>
          </w:rPr>
          <w:fldChar w:fldCharType="separate"/>
        </w:r>
        <w:r w:rsidR="00D4331A">
          <w:rPr>
            <w:rFonts w:asciiTheme="majorBidi" w:hAnsiTheme="majorBidi" w:cstheme="majorBidi"/>
            <w:noProof/>
          </w:rPr>
          <w:t>3</w:t>
        </w:r>
        <w:r w:rsidRPr="008F4A62">
          <w:rPr>
            <w:rFonts w:asciiTheme="majorBidi" w:hAnsiTheme="majorBidi" w:cstheme="majorBidi"/>
          </w:rPr>
          <w:fldChar w:fldCharType="end"/>
        </w:r>
      </w:p>
    </w:sdtContent>
  </w:sdt>
  <w:p w:rsidR="00F46DCF" w:rsidRDefault="00F46D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F0C" w:rsidRDefault="00336F0C" w:rsidP="00851196">
      <w:pPr>
        <w:spacing w:after="0" w:line="240" w:lineRule="auto"/>
      </w:pPr>
      <w:r>
        <w:separator/>
      </w:r>
    </w:p>
  </w:footnote>
  <w:footnote w:type="continuationSeparator" w:id="0">
    <w:p w:rsidR="00336F0C" w:rsidRDefault="00336F0C" w:rsidP="00851196">
      <w:pPr>
        <w:spacing w:after="0" w:line="240" w:lineRule="auto"/>
      </w:pPr>
      <w:r>
        <w:continuationSeparator/>
      </w:r>
    </w:p>
  </w:footnote>
  <w:footnote w:id="1">
    <w:p w:rsidR="00F46DCF" w:rsidRPr="009E6095" w:rsidRDefault="00F46DCF"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rsidR="00700CCD" w:rsidRDefault="00700CCD"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005724A9"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DCF" w:rsidRDefault="00F46DCF" w:rsidP="00657405">
    <w:pPr>
      <w:pStyle w:val="Nagwek"/>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DD" w:rsidRDefault="00535EDD" w:rsidP="00822537">
    <w:pPr>
      <w:pStyle w:val="Nagwek"/>
      <w:tabs>
        <w:tab w:val="clear" w:pos="4536"/>
      </w:tabs>
    </w:pPr>
    <w:r>
      <w:rPr>
        <w:noProof/>
      </w:rPr>
      <w:drawing>
        <wp:inline distT="0" distB="0" distL="0" distR="0">
          <wp:extent cx="1238250" cy="563648"/>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563648"/>
                  </a:xfrm>
                  <a:prstGeom prst="rect">
                    <a:avLst/>
                  </a:prstGeom>
                  <a:noFill/>
                  <a:ln>
                    <a:noFill/>
                  </a:ln>
                </pic:spPr>
              </pic:pic>
            </a:graphicData>
          </a:graphic>
        </wp:inline>
      </w:drawing>
    </w:r>
    <w:r w:rsidR="00B01511">
      <w:rPr>
        <w:noProof/>
      </w:rPr>
      <w:drawing>
        <wp:inline distT="0" distB="0" distL="0" distR="0">
          <wp:extent cx="1047750" cy="6166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616675"/>
                  </a:xfrm>
                  <a:prstGeom prst="rect">
                    <a:avLst/>
                  </a:prstGeom>
                  <a:noFill/>
                  <a:ln>
                    <a:noFill/>
                  </a:ln>
                </pic:spPr>
              </pic:pic>
            </a:graphicData>
          </a:graphic>
        </wp:inline>
      </w:drawing>
    </w:r>
    <w:r w:rsidR="00070726">
      <w:rPr>
        <w:noProof/>
      </w:rPr>
      <w:t xml:space="preserve">   </w:t>
    </w:r>
    <w:r w:rsidR="00B12731" w:rsidRPr="00B12731">
      <w:rPr>
        <w:rFonts w:ascii="Times New Roman" w:eastAsia="Times New Roman" w:hAnsi="Times New Roman"/>
        <w:noProof/>
        <w:sz w:val="24"/>
        <w:szCs w:val="24"/>
      </w:rPr>
      <w:drawing>
        <wp:inline distT="0" distB="0" distL="0" distR="0">
          <wp:extent cx="997585" cy="344805"/>
          <wp:effectExtent l="19050" t="0" r="0" b="0"/>
          <wp:docPr id="24" name="Obraz 2"/>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3"/>
                  <a:srcRect/>
                  <a:stretch>
                    <a:fillRect/>
                  </a:stretch>
                </pic:blipFill>
                <pic:spPr bwMode="auto">
                  <a:xfrm>
                    <a:off x="0" y="0"/>
                    <a:ext cx="997585" cy="344805"/>
                  </a:xfrm>
                  <a:prstGeom prst="rect">
                    <a:avLst/>
                  </a:prstGeom>
                  <a:noFill/>
                  <a:ln w="9525">
                    <a:noFill/>
                    <a:miter lim="800000"/>
                    <a:headEnd/>
                    <a:tailEnd/>
                  </a:ln>
                </pic:spPr>
              </pic:pic>
            </a:graphicData>
          </a:graphic>
        </wp:inline>
      </w:drawing>
    </w:r>
    <w:r w:rsidR="00070726">
      <w:rPr>
        <w:noProof/>
      </w:rPr>
      <w:t xml:space="preserve"> </w:t>
    </w:r>
    <w:r w:rsidR="00070726">
      <w:rPr>
        <w:noProof/>
      </w:rPr>
      <w:drawing>
        <wp:inline distT="0" distB="0" distL="0" distR="0">
          <wp:extent cx="1806050" cy="571500"/>
          <wp:effectExtent l="19050" t="0" r="370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57267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851196"/>
    <w:rsid w:val="000005D4"/>
    <w:rsid w:val="00001A1B"/>
    <w:rsid w:val="00004651"/>
    <w:rsid w:val="00006620"/>
    <w:rsid w:val="00007BF5"/>
    <w:rsid w:val="00011B64"/>
    <w:rsid w:val="000139D9"/>
    <w:rsid w:val="00013D4A"/>
    <w:rsid w:val="00013FF8"/>
    <w:rsid w:val="00014B31"/>
    <w:rsid w:val="000171D4"/>
    <w:rsid w:val="00017606"/>
    <w:rsid w:val="00017DED"/>
    <w:rsid w:val="00020AFC"/>
    <w:rsid w:val="0002509A"/>
    <w:rsid w:val="000250A5"/>
    <w:rsid w:val="00025FC3"/>
    <w:rsid w:val="00027B7A"/>
    <w:rsid w:val="0003139F"/>
    <w:rsid w:val="00032F95"/>
    <w:rsid w:val="00033707"/>
    <w:rsid w:val="00036375"/>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C70"/>
    <w:rsid w:val="00081497"/>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A2A"/>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4D78"/>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85"/>
    <w:rsid w:val="001557DF"/>
    <w:rsid w:val="00157FA9"/>
    <w:rsid w:val="0016224D"/>
    <w:rsid w:val="001628DA"/>
    <w:rsid w:val="00163DB0"/>
    <w:rsid w:val="001640AF"/>
    <w:rsid w:val="00164843"/>
    <w:rsid w:val="0016635A"/>
    <w:rsid w:val="00170846"/>
    <w:rsid w:val="00170DA1"/>
    <w:rsid w:val="00172996"/>
    <w:rsid w:val="00173731"/>
    <w:rsid w:val="0017374F"/>
    <w:rsid w:val="00174538"/>
    <w:rsid w:val="00175F57"/>
    <w:rsid w:val="0017716A"/>
    <w:rsid w:val="0018033F"/>
    <w:rsid w:val="001803E7"/>
    <w:rsid w:val="00180AFA"/>
    <w:rsid w:val="001816E8"/>
    <w:rsid w:val="00183165"/>
    <w:rsid w:val="001831B1"/>
    <w:rsid w:val="001837E8"/>
    <w:rsid w:val="001848EB"/>
    <w:rsid w:val="00190721"/>
    <w:rsid w:val="001919D7"/>
    <w:rsid w:val="00191B44"/>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26C8"/>
    <w:rsid w:val="001E27CB"/>
    <w:rsid w:val="001E2D3B"/>
    <w:rsid w:val="001E44CC"/>
    <w:rsid w:val="001E459E"/>
    <w:rsid w:val="001E7D04"/>
    <w:rsid w:val="001F0F14"/>
    <w:rsid w:val="001F1672"/>
    <w:rsid w:val="001F2A53"/>
    <w:rsid w:val="001F378C"/>
    <w:rsid w:val="001F394F"/>
    <w:rsid w:val="001F50F8"/>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2C9E"/>
    <w:rsid w:val="00253AEB"/>
    <w:rsid w:val="002547CC"/>
    <w:rsid w:val="00255524"/>
    <w:rsid w:val="00255617"/>
    <w:rsid w:val="00255A4E"/>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AE5"/>
    <w:rsid w:val="00273B9F"/>
    <w:rsid w:val="002745F7"/>
    <w:rsid w:val="002749F9"/>
    <w:rsid w:val="00275822"/>
    <w:rsid w:val="00275F08"/>
    <w:rsid w:val="00276467"/>
    <w:rsid w:val="00277333"/>
    <w:rsid w:val="00277BD3"/>
    <w:rsid w:val="002816C1"/>
    <w:rsid w:val="0028339A"/>
    <w:rsid w:val="00284E22"/>
    <w:rsid w:val="0028523B"/>
    <w:rsid w:val="00285483"/>
    <w:rsid w:val="002860BF"/>
    <w:rsid w:val="0028613F"/>
    <w:rsid w:val="002877F2"/>
    <w:rsid w:val="00291B90"/>
    <w:rsid w:val="00291C11"/>
    <w:rsid w:val="00292AED"/>
    <w:rsid w:val="002931B1"/>
    <w:rsid w:val="00294BA7"/>
    <w:rsid w:val="00296024"/>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311B"/>
    <w:rsid w:val="003032B7"/>
    <w:rsid w:val="00303FB1"/>
    <w:rsid w:val="00304C4F"/>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36F0C"/>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3162"/>
    <w:rsid w:val="00354573"/>
    <w:rsid w:val="00355973"/>
    <w:rsid w:val="00356979"/>
    <w:rsid w:val="00357C6B"/>
    <w:rsid w:val="00363C48"/>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4D07"/>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3666"/>
    <w:rsid w:val="003D49F5"/>
    <w:rsid w:val="003D5424"/>
    <w:rsid w:val="003D596F"/>
    <w:rsid w:val="003D7B2C"/>
    <w:rsid w:val="003E045C"/>
    <w:rsid w:val="003E0786"/>
    <w:rsid w:val="003E1D03"/>
    <w:rsid w:val="003E36F8"/>
    <w:rsid w:val="003E5A27"/>
    <w:rsid w:val="003E5C60"/>
    <w:rsid w:val="003E700F"/>
    <w:rsid w:val="003F12FA"/>
    <w:rsid w:val="003F1842"/>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2DA2"/>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86CB3"/>
    <w:rsid w:val="00490A73"/>
    <w:rsid w:val="00491956"/>
    <w:rsid w:val="004924F9"/>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0A12"/>
    <w:rsid w:val="0055195B"/>
    <w:rsid w:val="00552036"/>
    <w:rsid w:val="005526F3"/>
    <w:rsid w:val="00552C3F"/>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3F2"/>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53F5"/>
    <w:rsid w:val="005A7224"/>
    <w:rsid w:val="005B02D1"/>
    <w:rsid w:val="005B168F"/>
    <w:rsid w:val="005B1851"/>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0DF4"/>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3FA"/>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6DC1"/>
    <w:rsid w:val="00697E14"/>
    <w:rsid w:val="006A443D"/>
    <w:rsid w:val="006A518A"/>
    <w:rsid w:val="006A5D71"/>
    <w:rsid w:val="006A5E77"/>
    <w:rsid w:val="006A63C4"/>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C9B"/>
    <w:rsid w:val="007D3D7C"/>
    <w:rsid w:val="007D4114"/>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1E5B"/>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973"/>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6311"/>
    <w:rsid w:val="00947470"/>
    <w:rsid w:val="00950922"/>
    <w:rsid w:val="00951DCA"/>
    <w:rsid w:val="00953752"/>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0191"/>
    <w:rsid w:val="009A29F1"/>
    <w:rsid w:val="009A44BD"/>
    <w:rsid w:val="009A4A93"/>
    <w:rsid w:val="009A7B72"/>
    <w:rsid w:val="009B121E"/>
    <w:rsid w:val="009B5509"/>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6C9A"/>
    <w:rsid w:val="009E7FD5"/>
    <w:rsid w:val="009F0216"/>
    <w:rsid w:val="009F05FE"/>
    <w:rsid w:val="009F1360"/>
    <w:rsid w:val="009F16ED"/>
    <w:rsid w:val="009F1A31"/>
    <w:rsid w:val="009F31AE"/>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4598"/>
    <w:rsid w:val="00A94AB8"/>
    <w:rsid w:val="00A951DC"/>
    <w:rsid w:val="00A95CCF"/>
    <w:rsid w:val="00A97EA6"/>
    <w:rsid w:val="00AA34F0"/>
    <w:rsid w:val="00AA4276"/>
    <w:rsid w:val="00AA681B"/>
    <w:rsid w:val="00AA7572"/>
    <w:rsid w:val="00AA764C"/>
    <w:rsid w:val="00AB001D"/>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E7689"/>
    <w:rsid w:val="00AE7C25"/>
    <w:rsid w:val="00AF005D"/>
    <w:rsid w:val="00AF22D5"/>
    <w:rsid w:val="00AF4D14"/>
    <w:rsid w:val="00AF63E7"/>
    <w:rsid w:val="00AF7B8E"/>
    <w:rsid w:val="00B01511"/>
    <w:rsid w:val="00B02D7B"/>
    <w:rsid w:val="00B043EB"/>
    <w:rsid w:val="00B0495B"/>
    <w:rsid w:val="00B06A2D"/>
    <w:rsid w:val="00B078CB"/>
    <w:rsid w:val="00B11139"/>
    <w:rsid w:val="00B11734"/>
    <w:rsid w:val="00B12731"/>
    <w:rsid w:val="00B1747C"/>
    <w:rsid w:val="00B1772E"/>
    <w:rsid w:val="00B20569"/>
    <w:rsid w:val="00B205B9"/>
    <w:rsid w:val="00B2170E"/>
    <w:rsid w:val="00B21A7E"/>
    <w:rsid w:val="00B236D6"/>
    <w:rsid w:val="00B24F00"/>
    <w:rsid w:val="00B26CD2"/>
    <w:rsid w:val="00B33C87"/>
    <w:rsid w:val="00B33EFF"/>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2768"/>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0B12"/>
    <w:rsid w:val="00C21769"/>
    <w:rsid w:val="00C23691"/>
    <w:rsid w:val="00C26241"/>
    <w:rsid w:val="00C274D4"/>
    <w:rsid w:val="00C31226"/>
    <w:rsid w:val="00C31252"/>
    <w:rsid w:val="00C32657"/>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6D2"/>
    <w:rsid w:val="00C46C91"/>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B0E"/>
    <w:rsid w:val="00CB3BC8"/>
    <w:rsid w:val="00CB488E"/>
    <w:rsid w:val="00CB56E2"/>
    <w:rsid w:val="00CB61CE"/>
    <w:rsid w:val="00CB6271"/>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345C"/>
    <w:rsid w:val="00CE600F"/>
    <w:rsid w:val="00CE62DF"/>
    <w:rsid w:val="00CE6A81"/>
    <w:rsid w:val="00CF0C30"/>
    <w:rsid w:val="00CF0FC6"/>
    <w:rsid w:val="00CF1DB4"/>
    <w:rsid w:val="00CF1E8E"/>
    <w:rsid w:val="00CF2F13"/>
    <w:rsid w:val="00CF3B7C"/>
    <w:rsid w:val="00CF3C48"/>
    <w:rsid w:val="00CF4BED"/>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3DB8"/>
    <w:rsid w:val="00D3419E"/>
    <w:rsid w:val="00D342D2"/>
    <w:rsid w:val="00D3449A"/>
    <w:rsid w:val="00D352E9"/>
    <w:rsid w:val="00D35A18"/>
    <w:rsid w:val="00D3662C"/>
    <w:rsid w:val="00D371D3"/>
    <w:rsid w:val="00D37558"/>
    <w:rsid w:val="00D40371"/>
    <w:rsid w:val="00D40769"/>
    <w:rsid w:val="00D4331A"/>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411F"/>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0D39"/>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321E"/>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4D8D"/>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59D"/>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217"/>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4B36"/>
    <w:rsid w:val="00FC5FCC"/>
    <w:rsid w:val="00FC64C2"/>
    <w:rsid w:val="00FC79EF"/>
    <w:rsid w:val="00FC7BFC"/>
    <w:rsid w:val="00FD193C"/>
    <w:rsid w:val="00FD231F"/>
    <w:rsid w:val="00FD306C"/>
    <w:rsid w:val="00FD51BF"/>
    <w:rsid w:val="00FD56DE"/>
    <w:rsid w:val="00FD682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42" Type="http://schemas.openxmlformats.org/officeDocument/2006/relationships/diagramLayout" Target="diagrams/layout7.xml"/><Relationship Id="rId47" Type="http://schemas.openxmlformats.org/officeDocument/2006/relationships/diagramLayout" Target="diagrams/layout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07" Type="http://schemas.openxmlformats.org/officeDocument/2006/relationships/theme" Target="theme/theme1.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diagramLayout" Target="diagrams/layout16.xml"/><Relationship Id="rId102" Type="http://schemas.openxmlformats.org/officeDocument/2006/relationships/diagramLayout" Target="diagrams/layout19.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microsoft.com/office/2007/relationships/diagramDrawing" Target="diagrams/drawing16.xml"/><Relationship Id="rId95" Type="http://schemas.microsoft.com/office/2007/relationships/diagramDrawing" Target="diagrams/drawing17.xml"/><Relationship Id="rId19" Type="http://schemas.openxmlformats.org/officeDocument/2006/relationships/diagramColors" Target="diagrams/colors2.xml"/><Relationship Id="rId14" Type="http://schemas.openxmlformats.org/officeDocument/2006/relationships/footer" Target="foot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100" Type="http://schemas.microsoft.com/office/2007/relationships/diagramDrawing" Target="diagrams/drawing18.xml"/><Relationship Id="rId105" Type="http://schemas.microsoft.com/office/2007/relationships/diagramDrawing" Target="diagrams/drawing19.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diagramQuickStyle" Target="diagrams/quickStyle17.xml"/><Relationship Id="rId98" Type="http://schemas.openxmlformats.org/officeDocument/2006/relationships/diagramQuickStyle" Target="diagrams/quickStyle18.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103" Type="http://schemas.openxmlformats.org/officeDocument/2006/relationships/diagramQuickStyle" Target="diagrams/quickStyle19.xml"/><Relationship Id="rId108" Type="http://schemas.microsoft.com/office/2007/relationships/stylesWithEffects" Target="stylesWithEffects.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diagramData" Target="diagrams/data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6" Type="http://schemas.openxmlformats.org/officeDocument/2006/relationships/fontTable" Target="fontTable.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99" Type="http://schemas.openxmlformats.org/officeDocument/2006/relationships/diagramColors" Target="diagrams/colors18.xml"/><Relationship Id="rId101" Type="http://schemas.openxmlformats.org/officeDocument/2006/relationships/diagramData" Target="diagrams/data19.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diagramColors" Target="diagrams/colors6.xml"/><Relationship Id="rId34" Type="http://schemas.openxmlformats.org/officeDocument/2006/relationships/diagramColors" Target="diagrams/colors5.xml"/><Relationship Id="rId50" Type="http://schemas.microsoft.com/office/2007/relationships/diagramDrawing" Target="diagrams/drawing8.xml"/><Relationship Id="rId55" Type="http://schemas.microsoft.com/office/2007/relationships/diagramDrawing" Target="diagrams/drawing9.xml"/><Relationship Id="rId76" Type="http://schemas.openxmlformats.org/officeDocument/2006/relationships/diagramData" Target="diagrams/data14.xml"/><Relationship Id="rId97" Type="http://schemas.openxmlformats.org/officeDocument/2006/relationships/diagramLayout" Target="diagrams/layout18.xml"/><Relationship Id="rId104" Type="http://schemas.openxmlformats.org/officeDocument/2006/relationships/diagramColors" Target="diagrams/colors19.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t>
        <a:bodyPr/>
        <a:lstStyle/>
        <a:p>
          <a:endParaRPr lang="pl-PL"/>
        </a:p>
      </dgm:t>
    </dgm:pt>
  </dgm:ptLst>
  <dgm:cxnLst>
    <dgm:cxn modelId="{A1394646-EEAE-49F5-8FCE-C22B912B9BE2}"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9CC2441E-5E8C-4D03-A8F5-A124F48F00E5}" type="presOf" srcId="{E00CBF91-CA3B-4494-A8F9-5887BBC6EB6F}" destId="{311B6035-414E-43E4-B1A0-AF2189888E3E}" srcOrd="0" destOrd="0" presId="urn:microsoft.com/office/officeart/2005/8/layout/vList2"/>
    <dgm:cxn modelId="{AFABA71E-32A8-4337-8630-A75ABFE74900}"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16AD5D2C-2DDE-40E0-B739-FDF9848372F4}" type="presOf" srcId="{6C1FDEDE-DBB3-4DFA-AF12-A52E0DB9B57F}" destId="{88A0A208-3E35-457F-B9B5-2B8AD4299135}" srcOrd="0" destOrd="0" presId="urn:microsoft.com/office/officeart/2005/8/layout/vList2"/>
    <dgm:cxn modelId="{05809DDB-6C19-4C61-83B5-E75B04A9732B}"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D5217F40-B178-4EBB-BAE3-88AD6794F32E}"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t>
        <a:bodyPr/>
        <a:lstStyle/>
        <a:p>
          <a:endParaRPr lang="pl-PL"/>
        </a:p>
      </dgm:t>
    </dgm:pt>
  </dgm:ptLst>
  <dgm:cxnLst>
    <dgm:cxn modelId="{A5603AC7-D826-4456-85F1-DE62596F369C}" srcId="{DCA58AC1-8B82-475A-8BD3-895868E0FD24}" destId="{5E340539-F9DE-480A-8FE0-512991BB84CC}" srcOrd="0" destOrd="0" parTransId="{B718B096-3317-463E-81C5-5B691176D33C}" sibTransId="{755AB0FD-7B98-44C3-B82A-EE812D87E741}"/>
    <dgm:cxn modelId="{86687AEF-7CCC-4AAB-81C2-A3DF8F576154}" type="presOf" srcId="{DCA58AC1-8B82-475A-8BD3-895868E0FD24}" destId="{8F0D2893-5511-4034-9594-D729F15E8BA5}" srcOrd="0" destOrd="0" presId="urn:microsoft.com/office/officeart/2005/8/layout/vList2"/>
    <dgm:cxn modelId="{5F818A20-4C39-4319-979E-09078297B69E}" type="presOf" srcId="{5E340539-F9DE-480A-8FE0-512991BB84CC}" destId="{176FE577-4660-4547-8437-057E938C9D5E}" srcOrd="0" destOrd="0" presId="urn:microsoft.com/office/officeart/2005/8/layout/vList2"/>
    <dgm:cxn modelId="{D4B175F2-3565-4387-B3FB-317CF1E815C7}"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xmlns=""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E4A9FC7C-B661-428C-B83B-5CB983D92A6B}" type="presOf" srcId="{773BD18E-1F36-407B-8E4D-A46CB976ACF0}" destId="{0716D0D5-1D27-4F84-9114-81899F54D020}" srcOrd="0" destOrd="0" presId="urn:microsoft.com/office/officeart/2005/8/layout/vList2"/>
    <dgm:cxn modelId="{8CC24E21-A5F4-4E96-BBE9-22B9F9E17539}" type="presOf" srcId="{E409A4D0-AFA3-4ADC-989F-4C4279F2F261}" destId="{C3A48484-F067-4C28-AED5-FCE492331CE6}" srcOrd="0" destOrd="0" presId="urn:microsoft.com/office/officeart/2005/8/layout/vList2"/>
    <dgm:cxn modelId="{BF860980-32BD-4BE0-B665-0B090427E7DD}"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xmlns=""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789604ED-1E53-4FE3-8BFA-2670F84C93BE}" type="presOf" srcId="{DCA58AC1-8B82-475A-8BD3-895868E0FD24}" destId="{8F0D2893-5511-4034-9594-D729F15E8BA5}" srcOrd="0" destOrd="0" presId="urn:microsoft.com/office/officeart/2005/8/layout/vList2"/>
    <dgm:cxn modelId="{C63ED34C-8945-4C09-9A2F-34103D40B979}"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3BBA1E0C-A3A4-4E8F-9955-02C2E4B3BEEF}"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xmlns=""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72810" cy="4617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niezaleganiu z informacjami  do Generalnej Dyrekcji Ochrony Środowiska (GDOŚ)</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08EFF330-11AA-4468-8A26-C7D050F1BA22}" type="presOf" srcId="{DCA58AC1-8B82-475A-8BD3-895868E0FD24}" destId="{8F0D2893-5511-4034-9594-D729F15E8BA5}"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DC7BB956-722F-48B5-8368-BCD3005B0D73}" type="presOf" srcId="{5E340539-F9DE-480A-8FE0-512991BB84CC}" destId="{176FE577-4660-4547-8437-057E938C9D5E}" srcOrd="0" destOrd="0" presId="urn:microsoft.com/office/officeart/2005/8/layout/vList2"/>
    <dgm:cxn modelId="{13F88B29-4712-41B6-A29C-AE5A99196A20}"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xmlns=""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95670" cy="4639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nieubieganie się o dofinansowanie w ramach projektów realizowanych w osiach głównych </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7590A178-C104-48C3-947F-A11A7EBC83C5}" type="presOf" srcId="{5E340539-F9DE-480A-8FE0-512991BB84CC}" destId="{176FE577-4660-4547-8437-057E938C9D5E}" srcOrd="0" destOrd="0" presId="urn:microsoft.com/office/officeart/2005/8/layout/vList2"/>
    <dgm:cxn modelId="{C7585182-C450-4A32-834A-938586EEB80D}" type="presOf" srcId="{DCA58AC1-8B82-475A-8BD3-895868E0FD24}" destId="{8F0D2893-5511-4034-9594-D729F15E8BA5}"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B2545418-7576-44F2-98E9-8C8BC81A3B00}"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xmlns=""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C151A014-7816-4F00-B591-6C73BDAC587A}" type="presOf" srcId="{C8A11EBC-E411-4016-8622-6E3E10ADDAE7}" destId="{23819F88-2DA3-441C-A5CF-5F3A1F5D04D2}" srcOrd="0" destOrd="0" presId="urn:microsoft.com/office/officeart/2005/8/layout/vList2"/>
    <dgm:cxn modelId="{CC1B240B-92CF-4D73-9995-0190B9327AB3}"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5DF56D3E-067C-4C8E-8CA4-5ECBCA8E5CE6}"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xmlns=""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8A2B971B-727D-4751-82F6-7C203F9662B5}"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93FABD5E-EC4C-48C5-B1FF-124C00AFEC54}" type="presOf" srcId="{4D78D09E-BD6C-4B87-A6ED-4DDB99012723}" destId="{A0890EF9-AE42-449D-858F-4D0D5C2415C6}" srcOrd="0" destOrd="0" presId="urn:microsoft.com/office/officeart/2005/8/layout/vList2"/>
    <dgm:cxn modelId="{4E3C8D30-5AB1-467E-B583-EAF38981CE6D}"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xmlns="" relId="rId9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t>
        <a:bodyPr/>
        <a:lstStyle/>
        <a:p>
          <a:endParaRPr lang="pl-PL"/>
        </a:p>
      </dgm:t>
    </dgm:pt>
  </dgm:ptLst>
  <dgm:cxnLst>
    <dgm:cxn modelId="{E0033700-362E-4DAD-BF04-41532DC5D48B}" type="presOf" srcId="{4D78D09E-BD6C-4B87-A6ED-4DDB99012723}" destId="{A0890EF9-AE42-449D-858F-4D0D5C2415C6}" srcOrd="0" destOrd="0" presId="urn:microsoft.com/office/officeart/2005/8/layout/vList2"/>
    <dgm:cxn modelId="{27DFCEDE-54BB-4C71-BAFF-61BF98286305}"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56133D18-F082-4B95-A6BE-BF6D2B3CDA83}"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xmlns="" relId="rId10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764AAD9D-E710-450D-9087-84432654D59B}" type="presOf" srcId="{773BD18E-1F36-407B-8E4D-A46CB976ACF0}" destId="{0716D0D5-1D27-4F84-9114-81899F54D020}" srcOrd="0" destOrd="0" presId="urn:microsoft.com/office/officeart/2005/8/layout/vList2"/>
    <dgm:cxn modelId="{F321E480-A466-4110-A2CA-B351AE292522}" type="presOf" srcId="{E409A4D0-AFA3-4ADC-989F-4C4279F2F261}" destId="{C3A48484-F067-4C28-AED5-FCE492331CE6}" srcOrd="0" destOrd="0" presId="urn:microsoft.com/office/officeart/2005/8/layout/vList2"/>
    <dgm:cxn modelId="{09B86A87-A778-44C4-A162-771E27F3C4F5}"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xmlns="" relId="rId10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t>
        <a:bodyPr/>
        <a:lstStyle/>
        <a:p>
          <a:endParaRPr lang="pl-PL"/>
        </a:p>
      </dgm:t>
    </dgm:pt>
  </dgm:ptLst>
  <dgm:cxnLst>
    <dgm:cxn modelId="{A0DE6FAA-99F8-4BF1-93B5-C167EB19D56B}" type="presOf" srcId="{3926B704-CEDB-46D8-838C-6D5169420099}" destId="{864D37A4-26E9-4B83-8467-FA5B55C4E549}" srcOrd="0" destOrd="0" presId="urn:microsoft.com/office/officeart/2005/8/layout/vList2"/>
    <dgm:cxn modelId="{9704E870-1D3F-48B8-96BB-899614C4A31A}" type="presOf" srcId="{E00CBF91-CA3B-4494-A8F9-5887BBC6EB6F}" destId="{311B6035-414E-43E4-B1A0-AF2189888E3E}"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96C32727-BBD5-45E7-8935-7E1B3C3D49AC}"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t>
        <a:bodyPr/>
        <a:lstStyle/>
        <a:p>
          <a:endParaRPr lang="pl-PL"/>
        </a:p>
      </dgm:t>
    </dgm:pt>
  </dgm:ptLst>
  <dgm:cxnLst>
    <dgm:cxn modelId="{A866ADB9-1F8A-4D99-B53A-773E4B40383B}" type="presOf" srcId="{260C093B-1C5F-49B2-8390-A48CD6D81A28}" destId="{FDBF6D42-45D4-492E-89C2-F0F5950365ED}" srcOrd="0" destOrd="0" presId="urn:microsoft.com/office/officeart/2005/8/layout/vList2"/>
    <dgm:cxn modelId="{208AE2FE-0D0C-4D37-AED4-30B83A8BF5C7}"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EAF5708D-2A81-4558-8E09-A19096D5A5C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t>
        <a:bodyPr/>
        <a:lstStyle/>
        <a:p>
          <a:endParaRPr lang="pl-PL"/>
        </a:p>
      </dgm:t>
    </dgm:pt>
  </dgm:ptLst>
  <dgm:cxnLst>
    <dgm:cxn modelId="{F611972F-C14E-4C18-ADBF-62F9C3DD33BB}" type="presOf" srcId="{260C093B-1C5F-49B2-8390-A48CD6D81A28}" destId="{FDBF6D42-45D4-492E-89C2-F0F5950365ED}" srcOrd="0" destOrd="0" presId="urn:microsoft.com/office/officeart/2005/8/layout/vList2"/>
    <dgm:cxn modelId="{B0CA6123-8808-43F1-998E-152B1875A69F}"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5B6CB6D3-C753-4AD4-8A42-73267217A3F3}"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t>
        <a:bodyPr/>
        <a:lstStyle/>
        <a:p>
          <a:endParaRPr lang="pl-PL"/>
        </a:p>
      </dgm:t>
    </dgm:pt>
  </dgm:ptLst>
  <dgm:cxnLst>
    <dgm:cxn modelId="{40050161-55FC-4733-A652-1D29EC25E1BF}"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01B05C5A-15DF-4BD1-89E0-7083D1B372A7}" type="presOf" srcId="{6C1FDEDE-DBB3-4DFA-AF12-A52E0DB9B57F}" destId="{88A0A208-3E35-457F-B9B5-2B8AD4299135}" srcOrd="0" destOrd="0" presId="urn:microsoft.com/office/officeart/2005/8/layout/vList2"/>
    <dgm:cxn modelId="{39CBB35E-1AE7-47B0-AD04-BCA497F89CAB}"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t>
        <a:bodyPr/>
        <a:lstStyle/>
        <a:p>
          <a:endParaRPr lang="pl-PL"/>
        </a:p>
      </dgm:t>
    </dgm:pt>
  </dgm:ptLst>
  <dgm:cxnLst>
    <dgm:cxn modelId="{3058C5E4-7B7E-4E7B-ACAD-B5FF3FA5C298}" type="presOf" srcId="{260C093B-1C5F-49B2-8390-A48CD6D81A28}" destId="{FDBF6D42-45D4-492E-89C2-F0F5950365ED}" srcOrd="0" destOrd="0" presId="urn:microsoft.com/office/officeart/2005/8/layout/vList2"/>
    <dgm:cxn modelId="{BC1343BA-51C8-41AA-AEFE-1358BD79CD79}"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7E3C5C2B-E6D6-4C91-B3D0-DB483253B30E}"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t>
        <a:bodyPr/>
        <a:lstStyle/>
        <a:p>
          <a:endParaRPr lang="pl-PL"/>
        </a:p>
      </dgm:t>
    </dgm:pt>
  </dgm:ptLst>
  <dgm:cxnLst>
    <dgm:cxn modelId="{48F1E3E8-7EA1-422C-9888-124603169867}" type="presOf" srcId="{6C1FDEDE-DBB3-4DFA-AF12-A52E0DB9B57F}" destId="{88A0A208-3E35-457F-B9B5-2B8AD4299135}" srcOrd="0" destOrd="0" presId="urn:microsoft.com/office/officeart/2005/8/layout/vList2"/>
    <dgm:cxn modelId="{AF25D95F-71C2-4372-97CC-D4CD45C12C18}"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100B223F-0464-4049-AF06-4B96CCE55546}"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6531E6FD-8A1A-419B-8C32-E665D3C8D609}"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924CB69B-FC15-441A-94EE-CC17064B67BC}" type="presOf" srcId="{6C1FDEDE-DBB3-4DFA-AF12-A52E0DB9B57F}" destId="{88A0A208-3E35-457F-B9B5-2B8AD4299135}" srcOrd="0" destOrd="0" presId="urn:microsoft.com/office/officeart/2005/8/layout/vList2"/>
    <dgm:cxn modelId="{5FF83C3F-662C-4A39-A2D4-8D4669AFCE29}"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16716872-F402-4021-81DA-ABB00D83EF27}" type="presOf" srcId="{6C1FDEDE-DBB3-4DFA-AF12-A52E0DB9B57F}" destId="{88A0A208-3E35-457F-B9B5-2B8AD4299135}" srcOrd="0" destOrd="0" presId="urn:microsoft.com/office/officeart/2005/8/layout/vList2"/>
    <dgm:cxn modelId="{D47F0EF4-8E1F-4F74-BB09-E8D307F99823}"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7DA2DF2B-04D6-473C-B2BA-78DDC93AA636}"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5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pl-PL" sz="1400" b="1" i="1" kern="1200">
              <a:solidFill>
                <a:sysClr val="window" lastClr="FFFFFF"/>
              </a:solidFill>
              <a:latin typeface="Cambria"/>
              <a:ea typeface="+mn-ea"/>
              <a:cs typeface="+mn-cs"/>
            </a:rPr>
            <a:t>Spis treści:</a:t>
          </a:r>
        </a:p>
      </dsp:txBody>
      <dsp:txXfrm>
        <a:off x="0" y="0"/>
        <a:ext cx="5995670" cy="411840"/>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8.  Pozostałe załączniki wymagane</a:t>
          </a:r>
        </a:p>
      </dsp:txBody>
      <dsp:txXfrm>
        <a:off x="0" y="0"/>
        <a:ext cx="5931673" cy="508386"/>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0" y="340"/>
        <a:ext cx="5995670" cy="463633"/>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0" y="6928"/>
        <a:ext cx="5895975" cy="393120"/>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0" y="0"/>
        <a:ext cx="6026784" cy="466690"/>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6FE577-4660-4547-8437-057E938C9D5E}">
      <dsp:nvSpPr>
        <dsp:cNvPr id="0" name=""/>
        <dsp:cNvSpPr/>
      </dsp:nvSpPr>
      <dsp:spPr>
        <a:xfrm>
          <a:off x="0" y="0"/>
          <a:ext cx="5972810" cy="46212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niezaleganiu z informacjami  do Generalnej Dyrekcji Ochrony Środowiska (GDOŚ)</a:t>
          </a:r>
          <a:endParaRPr lang="pl-PL" sz="1400" i="1" kern="1200">
            <a:solidFill>
              <a:sysClr val="window" lastClr="FFFFFF"/>
            </a:solidFill>
            <a:latin typeface="Calibri"/>
            <a:ea typeface="+mn-ea"/>
            <a:cs typeface="+mn-cs"/>
          </a:endParaRPr>
        </a:p>
      </dsp:txBody>
      <dsp:txXfrm>
        <a:off x="0" y="0"/>
        <a:ext cx="5972810" cy="462122"/>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6FE577-4660-4547-8437-057E938C9D5E}">
      <dsp:nvSpPr>
        <dsp:cNvPr id="0" name=""/>
        <dsp:cNvSpPr/>
      </dsp:nvSpPr>
      <dsp:spPr>
        <a:xfrm>
          <a:off x="0" y="0"/>
          <a:ext cx="5972810" cy="4617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nieubieganie się o dofinansowanie w ramach projektów realizowanych w osiach głównych </a:t>
          </a:r>
          <a:endParaRPr lang="pl-PL" sz="1400" i="1" kern="1200">
            <a:solidFill>
              <a:sysClr val="window" lastClr="FFFFFF"/>
            </a:solidFill>
            <a:latin typeface="Calibri"/>
            <a:ea typeface="+mn-ea"/>
            <a:cs typeface="+mn-cs"/>
          </a:endParaRPr>
        </a:p>
      </dsp:txBody>
      <dsp:txXfrm>
        <a:off x="0" y="0"/>
        <a:ext cx="5972810" cy="461785"/>
      </dsp:txXfrm>
    </dsp:sp>
  </dsp:spTree>
</dsp:drawing>
</file>

<file path=word/diagrams/drawing1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0" y="223"/>
        <a:ext cx="5915025" cy="552002"/>
      </dsp:txXfrm>
    </dsp:sp>
  </dsp:spTree>
</dsp:drawing>
</file>

<file path=word/diagrams/drawing1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0" y="86"/>
        <a:ext cx="5915025" cy="552276"/>
      </dsp:txXfrm>
    </dsp:sp>
  </dsp:spTree>
</dsp:drawing>
</file>

<file path=word/diagrams/drawing1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0" y="9569"/>
        <a:ext cx="5915025" cy="542880"/>
      </dsp:txXfrm>
    </dsp:sp>
  </dsp:spTree>
</dsp:drawing>
</file>

<file path=word/diagrams/drawing1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0" y="6928"/>
        <a:ext cx="5895975" cy="39312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latin typeface="+mj-lt"/>
            </a:rPr>
            <a:t>Postanowienia ogólne</a:t>
          </a:r>
        </a:p>
      </dsp:txBody>
      <dsp:txXfrm>
        <a:off x="0" y="0"/>
        <a:ext cx="5995670" cy="41184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1. Studium Wykonalności </a:t>
          </a:r>
        </a:p>
      </dsp:txBody>
      <dsp:txXfrm>
        <a:off x="0" y="548"/>
        <a:ext cx="5924550" cy="561426"/>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2. Dokumenty związane z przeprowadzeniem postępowania oceny </a:t>
          </a:r>
        </a:p>
        <a:p>
          <a:pPr lvl="0" algn="ctr" defTabSz="622300">
            <a:lnSpc>
              <a:spcPct val="90000"/>
            </a:lnSpc>
            <a:spcBef>
              <a:spcPct val="0"/>
            </a:spcBef>
            <a:spcAft>
              <a:spcPct val="35000"/>
            </a:spcAft>
          </a:pPr>
          <a:r>
            <a:rPr lang="pl-PL" sz="1400" b="1" i="1" kern="1200"/>
            <a:t>oddziaływania na środowisko </a:t>
          </a:r>
        </a:p>
      </dsp:txBody>
      <dsp:txXfrm>
        <a:off x="0" y="688"/>
        <a:ext cx="5924550" cy="704161"/>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3. Kopia pozwolenia na budowę lub zgłoszenie budowy/dokumenty dotyczące zagospodarowania przestrzennego</a:t>
          </a:r>
        </a:p>
      </dsp:txBody>
      <dsp:txXfrm>
        <a:off x="0" y="4"/>
        <a:ext cx="5924550" cy="70416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t>4. </a:t>
          </a:r>
          <a:r>
            <a:rPr lang="pl-PL" sz="1400" b="1" i="1" kern="1200"/>
            <a:t>Wyciąg z dokumentacji technicznej</a:t>
          </a:r>
        </a:p>
      </dsp:txBody>
      <dsp:txXfrm>
        <a:off x="0" y="510"/>
        <a:ext cx="5925787" cy="522003"/>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5. Kosztorys inwestorski </a:t>
          </a:r>
        </a:p>
      </dsp:txBody>
      <dsp:txXfrm>
        <a:off x="0" y="510"/>
        <a:ext cx="5925787" cy="522003"/>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6. Potwierdzenie prawa do dysponowania gruntem lub obiektami - oświadczenie o prawie dysponowania nieruchomością na cele realizacji projektu, umowa najmu, dzierżawy itp.  </a:t>
          </a:r>
        </a:p>
      </dsp:txBody>
      <dsp:txXfrm>
        <a:off x="0" y="18326"/>
        <a:ext cx="5937662" cy="746390"/>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7. Oświadczenie Beneficjenta o kwalifikowalności podatku VAT</a:t>
          </a:r>
        </a:p>
      </dsp:txBody>
      <dsp:txXfrm>
        <a:off x="0" y="18326"/>
        <a:ext cx="5937662" cy="74639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3EF1-B5F5-4231-80F8-F44720D2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6272</Words>
  <Characters>37633</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Stowarzyszenie</cp:lastModifiedBy>
  <cp:revision>2</cp:revision>
  <cp:lastPrinted>2017-11-24T13:18:00Z</cp:lastPrinted>
  <dcterms:created xsi:type="dcterms:W3CDTF">2018-02-26T10:51:00Z</dcterms:created>
  <dcterms:modified xsi:type="dcterms:W3CDTF">2018-02-26T10:51:00Z</dcterms:modified>
</cp:coreProperties>
</file>